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低温甲醛灭菌器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38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spacing w:line="360" w:lineRule="auto"/>
        <w:jc w:val="center"/>
        <w:rPr>
          <w:rFonts w:hint="eastAsia" w:hAnsi="宋体" w:eastAsiaTheme="minorEastAsia"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sz w:val="32"/>
          <w:szCs w:val="32"/>
        </w:rPr>
        <w:t>技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sz w:val="32"/>
          <w:szCs w:val="32"/>
        </w:rPr>
        <w:t>术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</w:t>
      </w:r>
      <w:r>
        <w:rPr>
          <w:rFonts w:hAnsi="宋体"/>
          <w:b/>
          <w:sz w:val="32"/>
          <w:szCs w:val="32"/>
        </w:rPr>
        <w:t>参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</w:t>
      </w:r>
      <w:r>
        <w:rPr>
          <w:rFonts w:hAnsi="宋体"/>
          <w:b/>
          <w:sz w:val="32"/>
          <w:szCs w:val="32"/>
        </w:rPr>
        <w:t>数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要 </w:t>
      </w:r>
      <w:bookmarkStart w:id="0" w:name="_GoBack"/>
      <w:bookmarkEnd w:id="0"/>
      <w:r>
        <w:rPr>
          <w:rFonts w:hint="eastAsia" w:hAnsi="宋体"/>
          <w:b/>
          <w:sz w:val="32"/>
          <w:szCs w:val="32"/>
          <w:lang w:val="en-US" w:eastAsia="zh-CN"/>
        </w:rPr>
        <w:t>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color w:val="7030A0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适用范围：用于不能耐受高温的软式内镜、硬式内镜、电刀、眼科器械等热敏医疗器械的灭菌。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设备符合低温蒸汽甲醛灭菌器产品标准EN 14180，具备国内医疗器械注册证及经过备案的消毒产品安全评价报告，且通过EC认证，生产企业同时具备ISO13485认证，以保证产品质量。提供以上证明文件。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产品为专门的低温灭菌设备，非高低温混合设备，确保设备日常运行的稳定性，且防止操作者误选高温程序造成对器械的损伤。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灭菌介质：甲醛灭菌剂浓度≤2%，达到微生物杀灭效果的同时，最大限度提升使用及操作安全性。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jc w:val="lef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灭菌剂加样：采用密闭加样系统，全灭菌循环包括更换灭菌剂操作均完全封闭无暴露。（提供设备灭菌剂抽吸系统图片佐证）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jc w:val="lef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双门灭菌器，区分装载侧和卸载侧，舱体容积≤1</w:t>
      </w:r>
      <w:r>
        <w:rPr>
          <w:rFonts w:hAnsi="宋体"/>
          <w:bCs/>
          <w:sz w:val="24"/>
          <w:szCs w:val="24"/>
        </w:rPr>
        <w:t>50</w:t>
      </w:r>
      <w:r>
        <w:rPr>
          <w:rFonts w:hint="eastAsia" w:hAnsi="宋体"/>
          <w:bCs/>
          <w:sz w:val="24"/>
          <w:szCs w:val="24"/>
        </w:rPr>
        <w:t>L，灭菌舱深度≥9</w:t>
      </w:r>
      <w:r>
        <w:rPr>
          <w:rFonts w:hAnsi="宋体"/>
          <w:bCs/>
          <w:sz w:val="24"/>
          <w:szCs w:val="24"/>
        </w:rPr>
        <w:t>00</w:t>
      </w:r>
      <w:r>
        <w:rPr>
          <w:rFonts w:hint="eastAsia" w:hAnsi="宋体"/>
          <w:bCs/>
          <w:sz w:val="24"/>
          <w:szCs w:val="24"/>
        </w:rPr>
        <w:t>mm，便于装载软镜类长管腔器械。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jc w:val="lef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门锁系统：电磁锁+机械锁双重门锁系统，屏幕点击开锁键后，需手动打开灭菌舱门，双重开门确认，确保任何情况下操作人员和环境安全。（提供产品相关实物图片佐证）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灭菌程序：预置至少两个不同的、均低于8</w:t>
      </w:r>
      <w:r>
        <w:rPr>
          <w:rFonts w:hAnsi="宋体"/>
          <w:bCs/>
          <w:sz w:val="24"/>
          <w:szCs w:val="24"/>
        </w:rPr>
        <w:t>0</w:t>
      </w:r>
      <w:r>
        <w:rPr>
          <w:rFonts w:hint="eastAsia" w:hAnsi="宋体"/>
          <w:bCs/>
          <w:sz w:val="24"/>
          <w:szCs w:val="24"/>
        </w:rPr>
        <w:t>℃的低温灭菌程序及真空测试程序，以满足不同器械灭菌温度和时间的需求。程序各阶段参数均可显示、可记录、可追溯，可保存，可调阅。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jc w:val="lef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循环时间：预热升温时间≤30min，通用程序完整循环时间≤180分钟、专用程序完整循环时间≤120分钟。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灭菌介质残留：灭菌后器械表面灭菌剂残留平均值≤2ug/cm²，符合EN</w:t>
      </w:r>
      <w:r>
        <w:rPr>
          <w:rFonts w:hAnsi="宋体"/>
          <w:bCs/>
          <w:sz w:val="24"/>
          <w:szCs w:val="24"/>
        </w:rPr>
        <w:t>14180</w:t>
      </w:r>
      <w:r>
        <w:rPr>
          <w:rFonts w:hint="eastAsia" w:hAnsi="宋体"/>
          <w:bCs/>
          <w:sz w:val="24"/>
          <w:szCs w:val="24"/>
        </w:rPr>
        <w:t>标准要求。（提供相关检测报告）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设备运行环境中甲醛含量＜0.0</w:t>
      </w:r>
      <w:r>
        <w:rPr>
          <w:rFonts w:hAnsi="宋体"/>
          <w:bCs/>
          <w:sz w:val="24"/>
          <w:szCs w:val="24"/>
        </w:rPr>
        <w:t>2</w:t>
      </w:r>
      <w:r>
        <w:rPr>
          <w:rFonts w:hint="eastAsia" w:hAnsi="宋体"/>
          <w:bCs/>
          <w:sz w:val="24"/>
          <w:szCs w:val="24"/>
        </w:rPr>
        <w:t>mg/m³，符合国家职业暴露限值要求。（提供相关检测报告）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器械灭菌兼容性：可灭菌多通道内镜、十二指肠镜、达芬奇3D内镜、显微镜晶体材料等精密复杂器械，提供奥林巴斯、宾得、达芬奇、卡尔史托斯等相关器械生产企业出具的灭菌兼容性证明。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jc w:val="lef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管腔灭菌有效性：可有效处理内径≤0</w:t>
      </w:r>
      <w:r>
        <w:rPr>
          <w:rFonts w:hAnsi="宋体"/>
          <w:bCs/>
          <w:sz w:val="24"/>
          <w:szCs w:val="24"/>
        </w:rPr>
        <w:t>.5</w:t>
      </w:r>
      <w:r>
        <w:rPr>
          <w:rFonts w:hint="eastAsia" w:hAnsi="宋体"/>
          <w:bCs/>
          <w:sz w:val="24"/>
          <w:szCs w:val="24"/>
        </w:rPr>
        <w:t>mm，长度≥4m，一端盲端的聚合物材质管腔器械，可有效处理内径≤0</w:t>
      </w:r>
      <w:r>
        <w:rPr>
          <w:rFonts w:hAnsi="宋体"/>
          <w:bCs/>
          <w:sz w:val="24"/>
          <w:szCs w:val="24"/>
        </w:rPr>
        <w:t>.7</w:t>
      </w:r>
      <w:r>
        <w:rPr>
          <w:rFonts w:hint="eastAsia" w:hAnsi="宋体"/>
          <w:bCs/>
          <w:sz w:val="24"/>
          <w:szCs w:val="24"/>
        </w:rPr>
        <w:t>mm，长度≥2m，一端盲端的不锈钢材质管腔器械，提供相关测试报告。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操作和控制系统：全触摸屏操作系统，中文菜单，具备操作提示音，自动声音、视觉报警系统，显示错误信息。全自动微电脑控制，实时压力、温度、灭菌剂消耗量等参数的显示，全程测漏。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物理参数监测系统：双路独立温度、压力监控，内置双通道记录仪，可打印压力、温度曲线，作为过程监测的参数记录。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灭菌剂：</w:t>
      </w:r>
      <w:r>
        <w:rPr>
          <w:rFonts w:hint="eastAsia"/>
          <w:bCs/>
          <w:sz w:val="24"/>
          <w:szCs w:val="24"/>
        </w:rPr>
        <w:t>提供原厂同品牌灭菌剂，</w:t>
      </w:r>
      <w:r>
        <w:rPr>
          <w:bCs/>
          <w:sz w:val="24"/>
          <w:szCs w:val="24"/>
        </w:rPr>
        <w:t>带有</w:t>
      </w:r>
      <w:r>
        <w:rPr>
          <w:rFonts w:hint="eastAsia"/>
          <w:bCs/>
          <w:sz w:val="24"/>
          <w:szCs w:val="24"/>
        </w:rPr>
        <w:t>CE标志，且具有经过备案的消毒产品安全评价报告。灭菌剂不属于危化品，可常温存储，无需特殊保存条件。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化学、生物监测耗材：提供原厂同品牌一类、四类化学指示卡、管腔PCD、生物监测耗材，并具备经过备案的消毒产品安全评价报告。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安装和配备要求：</w:t>
      </w:r>
    </w:p>
    <w:p>
      <w:pPr>
        <w:numPr>
          <w:ilvl w:val="0"/>
          <w:numId w:val="0"/>
        </w:numPr>
        <w:spacing w:before="156" w:beforeLines="50" w:line="276" w:lineRule="auto"/>
        <w:ind w:left="420" w:leftChars="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安装简便，无需独立安装空间及额外解析设备，机器自带蒸汽发生器，无需外源蒸汽。</w:t>
      </w:r>
    </w:p>
    <w:p>
      <w:pPr>
        <w:numPr>
          <w:ilvl w:val="0"/>
          <w:numId w:val="1"/>
        </w:numPr>
        <w:spacing w:before="156" w:beforeLines="50" w:line="276" w:lineRule="auto"/>
        <w:ind w:left="420" w:leftChars="0" w:hanging="420" w:firstLineChars="0"/>
        <w:jc w:val="left"/>
        <w:rPr>
          <w:rFonts w:hint="default" w:eastAsia="宋体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 xml:space="preserve"> 质保期2年以上。</w:t>
      </w:r>
    </w:p>
    <w:p>
      <w:pPr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00553"/>
    <w:multiLevelType w:val="multilevel"/>
    <w:tmpl w:val="1840055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FA84CA6"/>
    <w:rsid w:val="12E82E96"/>
    <w:rsid w:val="2A8C0727"/>
    <w:rsid w:val="2E2319FE"/>
    <w:rsid w:val="4B6E6C91"/>
    <w:rsid w:val="51581DB0"/>
    <w:rsid w:val="6B7C2EE9"/>
    <w:rsid w:val="71EE5529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2021-11-18T07:07:14Z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