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无创连续心排量及血流动力学检测系统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44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pStyle w:val="2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1.设备含主机、控制器、控制电缆、控制器固定装置 、前臂固定袖带 、NBP连接管、双指指套（大、中、小）、 NBP袖带（成人大、中、小，儿童）、数据转换器等。显示屏幕不小于 8 英寸，分辨率不低于 800 x 600 像素。能适用于麻醉科手术室、ICU，无一次性耗材。最低适用人群可低至5岁。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2.有可重复使用的双指感应器，有能减少体动影响的双指套双重锚固功能，能两个手指交替采集数据，能无创持久测量。能自动检测患者的末梢血液循环,并给出明确的渗透指数（PI）描述外周动脉渗透信号质量。能自动无创定标肱动脉。具备静脉淤滞功能,可以阻滞静脉血，帮助临床进行静脉穿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能提供无创实时每搏连续血压及高保真血压波形图、脉搏数（Pulse）、连续收缩压（Sys）、连续舒张压（Dia）和连续平均压（MAP）。具备脉压差变异率（PPV）、每搏输出量变异度（SVV）等前负荷反应参数。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4.可选配心输出量（CO）、心指数（CI）、每搏输出量（SV）、每搏输出指数（SI）、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血管外周阻力（SVR）、血管外周阻力指数（SVRI）。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5.配可充电内置电池。具备声光报警功能，能设置生理（中优先级）和技术（低优先级）警报。生理报警参数需包括：收缩压上下限，舒张压上下限，平均压上下限，脉搏上下限。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6.能提供12个参数的趋势图：能对所有趋势图及幅度尺度进行调整，能导出Excel数据文件。数据可通过U盘储存记录。配置一体化打印机，具备打印快照报告和激活打印报警功能。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DB41D"/>
    <w:multiLevelType w:val="singleLevel"/>
    <w:tmpl w:val="D33DB41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47036CF2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10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2021-11-26T01:40:01Z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