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气囊式体外反搏系统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46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心电参数：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多</w:t>
      </w:r>
      <w:r>
        <w:rPr>
          <w:rFonts w:hint="eastAsia" w:ascii="宋体" w:hAnsi="宋体" w:eastAsia="宋体" w:cs="宋体"/>
          <w:b w:val="0"/>
          <w:bCs w:val="0"/>
          <w:sz w:val="24"/>
        </w:rPr>
        <w:t>级增益，共</w:t>
      </w:r>
      <w:r>
        <w:rPr>
          <w:rFonts w:hint="eastAsia" w:ascii="宋体" w:hAnsi="宋体" w:cs="宋体"/>
          <w:b w:val="0"/>
          <w:bCs w:val="0"/>
          <w:sz w:val="24"/>
        </w:rPr>
        <w:t>模抑制比&gt;80dB，心电检出门限</w:t>
      </w:r>
      <w:r>
        <w:rPr>
          <w:rFonts w:hint="default" w:ascii="Arial" w:hAnsi="Arial" w:cs="Arial"/>
          <w:b w:val="0"/>
          <w:bCs w:val="0"/>
          <w:sz w:val="24"/>
          <w:highlight w:val="none"/>
        </w:rPr>
        <w:t>≤</w:t>
      </w:r>
      <w:r>
        <w:rPr>
          <w:rFonts w:hint="eastAsia" w:ascii="宋体" w:hAnsi="宋体" w:cs="宋体"/>
          <w:b w:val="0"/>
          <w:bCs w:val="0"/>
          <w:sz w:val="24"/>
        </w:rPr>
        <w:t>0.25mV；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</w:rPr>
        <w:t>1.2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标准三导联或五导联；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1.3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35次/min～165次/min时，心率显示误差</w:t>
      </w:r>
      <w:r>
        <w:rPr>
          <w:rFonts w:hint="default" w:ascii="Arial" w:hAnsi="Arial" w:cs="Arial"/>
          <w:b w:val="0"/>
          <w:bCs w:val="0"/>
          <w:sz w:val="24"/>
          <w:highlight w:val="none"/>
        </w:rPr>
        <w:t>≤</w:t>
      </w:r>
      <w:r>
        <w:rPr>
          <w:rFonts w:hint="eastAsia" w:ascii="宋体" w:hAnsi="宋体" w:cs="宋体"/>
          <w:b w:val="0"/>
          <w:bCs w:val="0"/>
          <w:sz w:val="24"/>
        </w:rPr>
        <w:t>2次/min，心率与脉率同频双显示；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1.4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</w:rPr>
        <w:t>50/60 Hz高低通滤波；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1.5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心电波形滚动推进式显示，具有连续性和可追溯性。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脉搏参数：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2.1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 xml:space="preserve">血氧显示：70-100%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+</w:t>
      </w:r>
      <w:r>
        <w:rPr>
          <w:rFonts w:hint="eastAsia" w:ascii="宋体" w:hAnsi="宋体" w:cs="宋体"/>
          <w:b w:val="0"/>
          <w:bCs w:val="0"/>
          <w:sz w:val="24"/>
        </w:rPr>
        <w:t xml:space="preserve"> 2%；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2.2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脉搏显示：35次/min～165次/min时，脉率显示误差</w:t>
      </w:r>
      <w:r>
        <w:rPr>
          <w:rFonts w:hint="default" w:ascii="Arial" w:hAnsi="Arial" w:cs="Arial"/>
          <w:b w:val="0"/>
          <w:bCs w:val="0"/>
          <w:sz w:val="24"/>
          <w:highlight w:val="none"/>
        </w:rPr>
        <w:t>≤</w:t>
      </w:r>
      <w:r>
        <w:rPr>
          <w:rFonts w:hint="eastAsia" w:ascii="宋体" w:hAnsi="宋体" w:cs="宋体"/>
          <w:b w:val="0"/>
          <w:bCs w:val="0"/>
          <w:sz w:val="24"/>
        </w:rPr>
        <w:t>2次/min；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 xml:space="preserve">2.3 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D/S比值：实时显示，峰值的比值（P）和面积的比值（A）；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2.4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血氧波形采用滚动推进式显示，具有连续性和可追溯性；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触发模式：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3.1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 xml:space="preserve">心电R波正负触发，反搏比率1:1; 1:2，触发行程40-120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+</w:t>
      </w:r>
      <w:r>
        <w:rPr>
          <w:rFonts w:hint="eastAsia" w:ascii="宋体" w:hAnsi="宋体" w:cs="宋体"/>
          <w:b w:val="0"/>
          <w:bCs w:val="0"/>
          <w:sz w:val="24"/>
        </w:rPr>
        <w:t>1bmp；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3.2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房颤病人触发模式。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3.3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体外反搏压力微调模式，有舒适低、中、高三级调节。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</w:rPr>
        <w:t>3.4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触摸工控液晶显示器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多重保护措施及保护显示：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</w:rPr>
        <w:t>4.1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早搏触发排气保护，并在显示器中显示早搏心电波形，治疗继续进行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4.2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过早充气和过迟排气保护，停机后电磁阀延续排气；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4.3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自动压力过高保护限制，并弹出提示消息框；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4.4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心电电极脱落弹出提示消息框。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时间设定：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5.1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治疗时间可以设定5到60分钟，每次加减5分钟，治疗完成后自动停机；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5.2</w:t>
      </w:r>
      <w:r>
        <w:rPr>
          <w:rFonts w:hint="eastAsia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</w:rPr>
        <w:t>空气压力泵运行时间累计记时；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压力系统：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6.1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</w:rPr>
        <w:t>空气压力泵</w:t>
      </w:r>
      <w:r>
        <w:rPr>
          <w:rFonts w:hint="eastAsia" w:ascii="宋体" w:hAnsi="宋体" w:cs="宋体"/>
          <w:b w:val="0"/>
          <w:bCs w:val="0"/>
          <w:sz w:val="24"/>
        </w:rPr>
        <w:t>：</w:t>
      </w:r>
      <w:r>
        <w:rPr>
          <w:rFonts w:hint="eastAsia"/>
          <w:b w:val="0"/>
          <w:bCs w:val="0"/>
          <w:sz w:val="24"/>
        </w:rPr>
        <w:t>采用原装进口空气压力泵；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6.2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</w:rPr>
        <w:t>压力调控：治疗压力单位以“毫米汞柱”和“兆帕斯卡”双显示，临床操作治疗压力时单位直接换算；压力调控范围75-300mmHg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</w:rPr>
        <w:t>可以调节高低，每次加或减</w:t>
      </w:r>
      <w:r>
        <w:rPr>
          <w:rFonts w:hint="default" w:ascii="Arial" w:hAnsi="Arial" w:eastAsia="宋体" w:cs="Arial"/>
          <w:b w:val="0"/>
          <w:bCs w:val="0"/>
          <w:sz w:val="24"/>
          <w:highlight w:val="none"/>
        </w:rPr>
        <w:t>≤</w:t>
      </w:r>
      <w:r>
        <w:rPr>
          <w:rFonts w:hint="eastAsia" w:ascii="宋体" w:hAnsi="宋体" w:cs="宋体"/>
          <w:b w:val="0"/>
          <w:bCs w:val="0"/>
          <w:sz w:val="24"/>
        </w:rPr>
        <w:t>5mmHg 。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治疗囊套和接头</w:t>
      </w:r>
    </w:p>
    <w:p>
      <w:pPr>
        <w:numPr>
          <w:ilvl w:val="1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</w:rPr>
        <w:t>扣式强化式治疗外囊套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；</w:t>
      </w:r>
    </w:p>
    <w:p>
      <w:pPr>
        <w:numPr>
          <w:ilvl w:val="1"/>
          <w:numId w:val="1"/>
        </w:num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管道连接头使用推拉快速接头，非旋钮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sz w:val="24"/>
        </w:rPr>
        <w:t xml:space="preserve"> 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8.设备具有超静音设计，整机嗓音≤61db(A)，提供检测报告。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</w:rPr>
        <w:t>9.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</w:rPr>
        <w:t>演示模式允许系统：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有</w:t>
      </w:r>
      <w:r>
        <w:rPr>
          <w:rFonts w:hint="eastAsia" w:ascii="宋体" w:hAnsi="宋体" w:cs="宋体"/>
          <w:b w:val="0"/>
          <w:bCs w:val="0"/>
          <w:sz w:val="24"/>
        </w:rPr>
        <w:t>自动模拟运行系统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；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10.充、排气点辅助设定系统：I/D AID系统辅助操作者设定最佳充、排气点，反搏舒张期波形自动标识和显示。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11.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支持</w:t>
      </w:r>
      <w:r>
        <w:rPr>
          <w:rFonts w:hint="eastAsia" w:ascii="宋体" w:hAnsi="宋体" w:cs="宋体"/>
          <w:b w:val="0"/>
          <w:bCs w:val="0"/>
          <w:sz w:val="24"/>
        </w:rPr>
        <w:t>远程无线网络设备操作指导及维护指导，远程设备软件升级指导。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</w:t>
      </w:r>
      <w:r>
        <w:rPr>
          <w:rFonts w:ascii="宋体" w:hAnsi="宋体" w:cs="宋体"/>
          <w:b w:val="0"/>
          <w:bCs w:val="0"/>
          <w:sz w:val="24"/>
        </w:rPr>
        <w:t>2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cs="宋体"/>
          <w:b w:val="0"/>
          <w:bCs w:val="0"/>
          <w:color w:val="000000"/>
          <w:sz w:val="24"/>
        </w:rPr>
        <w:t>床体</w:t>
      </w:r>
      <w:r>
        <w:rPr>
          <w:rFonts w:hint="eastAsia" w:ascii="宋体" w:hAnsi="宋体" w:cs="宋体"/>
          <w:b w:val="0"/>
          <w:bCs w:val="0"/>
          <w:color w:val="000000"/>
          <w:sz w:val="24"/>
          <w:lang w:eastAsia="zh-CN"/>
        </w:rPr>
        <w:t>尺寸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：长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(1800mm-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2000mm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*宽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(700mm-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800mm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*高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(600mm-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700mm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sz w:val="24"/>
        </w:rPr>
        <w:t>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</w:t>
      </w:r>
      <w:r>
        <w:rPr>
          <w:rFonts w:ascii="宋体" w:hAnsi="宋体" w:cs="宋体"/>
          <w:b w:val="0"/>
          <w:bCs w:val="0"/>
          <w:sz w:val="24"/>
        </w:rPr>
        <w:t>3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 w:val="24"/>
        </w:rPr>
        <w:t>产品输入功率</w:t>
      </w:r>
      <w:r>
        <w:rPr>
          <w:rFonts w:hint="default" w:ascii="Arial" w:hAnsi="Arial" w:eastAsia="宋体" w:cs="Arial"/>
          <w:b w:val="0"/>
          <w:bCs w:val="0"/>
          <w:sz w:val="24"/>
          <w:highlight w:val="none"/>
        </w:rPr>
        <w:t>≤</w:t>
      </w:r>
      <w:r>
        <w:rPr>
          <w:rFonts w:hint="eastAsia" w:ascii="宋体" w:hAnsi="宋体" w:cs="宋体"/>
          <w:b w:val="0"/>
          <w:bCs w:val="0"/>
          <w:sz w:val="24"/>
        </w:rPr>
        <w:t>1500VA。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cs="宋体"/>
          <w:b w:val="0"/>
          <w:bCs w:val="0"/>
          <w:sz w:val="24"/>
        </w:rPr>
      </w:pPr>
      <w:r>
        <w:rPr>
          <w:rFonts w:ascii="宋体" w:hAnsi="宋体" w:cs="宋体"/>
          <w:b w:val="0"/>
          <w:bCs w:val="0"/>
          <w:sz w:val="24"/>
        </w:rPr>
        <w:t>14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 w:val="24"/>
        </w:rPr>
        <w:t>产品认证</w:t>
      </w:r>
    </w:p>
    <w:p>
      <w:pPr>
        <w:tabs>
          <w:tab w:val="left" w:pos="0"/>
        </w:tabs>
        <w:spacing w:line="360" w:lineRule="auto"/>
        <w:ind w:left="0" w:leftChars="0" w:hanging="9" w:firstLine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z w:val="24"/>
        </w:rPr>
        <w:t>1</w:t>
      </w:r>
      <w:r>
        <w:rPr>
          <w:rFonts w:ascii="宋体" w:hAnsi="宋体" w:cs="宋体"/>
          <w:b w:val="0"/>
          <w:bCs w:val="0"/>
          <w:sz w:val="24"/>
        </w:rPr>
        <w:t>4</w:t>
      </w:r>
      <w:r>
        <w:rPr>
          <w:rFonts w:hint="eastAsia" w:ascii="宋体" w:hAnsi="宋体" w:cs="宋体"/>
          <w:b w:val="0"/>
          <w:bCs w:val="0"/>
          <w:sz w:val="24"/>
        </w:rPr>
        <w:t>.1通过欧盟CE、美国FDA、中国SFDA、ISO13485认证。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40D34182"/>
    <w:rsid w:val="47036CF2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2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2021-11-26T10:42:34Z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