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atLeast"/>
        <w:ind w:firstLine="480"/>
        <w:jc w:val="center"/>
        <w:rPr>
          <w:rFonts w:hint="eastAsia" w:ascii="仿宋" w:hAnsi="仿宋" w:eastAsia="仿宋" w:cs="仿宋"/>
          <w:sz w:val="24"/>
          <w:szCs w:val="24"/>
          <w:lang w:eastAsia="zh-CN"/>
        </w:rPr>
      </w:pPr>
      <w:r>
        <w:rPr>
          <w:rFonts w:hint="eastAsia" w:ascii="仿宋" w:hAnsi="仿宋" w:eastAsia="仿宋" w:cs="仿宋"/>
          <w:b/>
          <w:sz w:val="30"/>
          <w:szCs w:val="30"/>
          <w:lang w:eastAsia="zh-CN"/>
        </w:rPr>
        <w:t>资格要求</w:t>
      </w:r>
    </w:p>
    <w:p>
      <w:pPr>
        <w:spacing w:line="400" w:lineRule="atLeast"/>
        <w:ind w:firstLine="480"/>
        <w:rPr>
          <w:rFonts w:hint="eastAsia" w:ascii="仿宋" w:hAnsi="仿宋" w:eastAsia="仿宋" w:cs="仿宋"/>
          <w:sz w:val="24"/>
          <w:szCs w:val="24"/>
        </w:rPr>
      </w:pPr>
      <w:r>
        <w:rPr>
          <w:rFonts w:hint="eastAsia" w:ascii="仿宋" w:hAnsi="仿宋" w:eastAsia="仿宋" w:cs="仿宋"/>
          <w:sz w:val="24"/>
          <w:szCs w:val="24"/>
        </w:rPr>
        <w:t>（一）一般资格条件</w:t>
      </w:r>
    </w:p>
    <w:p>
      <w:pPr>
        <w:spacing w:line="400" w:lineRule="atLeast"/>
        <w:ind w:firstLine="480"/>
        <w:rPr>
          <w:rFonts w:hint="eastAsia" w:ascii="仿宋" w:hAnsi="仿宋" w:eastAsia="仿宋" w:cs="仿宋"/>
          <w:sz w:val="24"/>
          <w:szCs w:val="24"/>
        </w:rPr>
      </w:pPr>
      <w:r>
        <w:rPr>
          <w:rFonts w:hint="eastAsia" w:ascii="仿宋" w:hAnsi="仿宋" w:eastAsia="仿宋" w:cs="仿宋"/>
          <w:sz w:val="24"/>
          <w:szCs w:val="24"/>
        </w:rPr>
        <w:t>1、具有独立承担民事责任的能力；</w:t>
      </w:r>
    </w:p>
    <w:p>
      <w:pPr>
        <w:spacing w:line="400" w:lineRule="atLeast"/>
        <w:ind w:firstLine="480"/>
        <w:rPr>
          <w:rFonts w:hint="eastAsia" w:ascii="仿宋" w:hAnsi="仿宋" w:eastAsia="仿宋" w:cs="仿宋"/>
          <w:sz w:val="24"/>
          <w:szCs w:val="24"/>
        </w:rPr>
      </w:pPr>
      <w:r>
        <w:rPr>
          <w:rFonts w:hint="eastAsia" w:ascii="仿宋" w:hAnsi="仿宋" w:eastAsia="仿宋" w:cs="仿宋"/>
          <w:sz w:val="24"/>
          <w:szCs w:val="24"/>
        </w:rPr>
        <w:t>2、具有良好的商业信誉和健全的财务会计制度；</w:t>
      </w:r>
    </w:p>
    <w:p>
      <w:pPr>
        <w:spacing w:line="400" w:lineRule="atLeast"/>
        <w:ind w:firstLine="480"/>
        <w:rPr>
          <w:rFonts w:hint="eastAsia" w:ascii="仿宋" w:hAnsi="仿宋" w:eastAsia="仿宋" w:cs="仿宋"/>
          <w:sz w:val="24"/>
          <w:szCs w:val="24"/>
        </w:rPr>
      </w:pPr>
      <w:r>
        <w:rPr>
          <w:rFonts w:hint="eastAsia" w:ascii="仿宋" w:hAnsi="仿宋" w:eastAsia="仿宋" w:cs="仿宋"/>
          <w:sz w:val="24"/>
          <w:szCs w:val="24"/>
        </w:rPr>
        <w:t>3、具有履行合同所必需的设备和专业技术能力；</w:t>
      </w:r>
    </w:p>
    <w:p>
      <w:pPr>
        <w:spacing w:line="400" w:lineRule="atLeast"/>
        <w:ind w:firstLine="480"/>
        <w:rPr>
          <w:rFonts w:hint="eastAsia" w:ascii="仿宋" w:hAnsi="仿宋" w:eastAsia="仿宋" w:cs="仿宋"/>
          <w:sz w:val="24"/>
          <w:szCs w:val="24"/>
        </w:rPr>
      </w:pPr>
      <w:r>
        <w:rPr>
          <w:rFonts w:hint="eastAsia" w:ascii="仿宋" w:hAnsi="仿宋" w:eastAsia="仿宋" w:cs="仿宋"/>
          <w:sz w:val="24"/>
          <w:szCs w:val="24"/>
        </w:rPr>
        <w:t>4、有依法缴纳税收和社会保障资金的良好记录；</w:t>
      </w:r>
    </w:p>
    <w:p>
      <w:pPr>
        <w:spacing w:line="400" w:lineRule="atLeast"/>
        <w:ind w:firstLine="480"/>
        <w:rPr>
          <w:rFonts w:hint="eastAsia" w:ascii="仿宋" w:hAnsi="仿宋" w:eastAsia="仿宋" w:cs="仿宋"/>
          <w:sz w:val="24"/>
          <w:szCs w:val="24"/>
        </w:rPr>
      </w:pPr>
      <w:r>
        <w:rPr>
          <w:rFonts w:hint="eastAsia" w:ascii="仿宋" w:hAnsi="仿宋" w:eastAsia="仿宋" w:cs="仿宋"/>
          <w:sz w:val="24"/>
          <w:szCs w:val="24"/>
        </w:rPr>
        <w:t>5、参加政府采购活动前三年内，在经营活动中没有重大违法记录；</w:t>
      </w:r>
    </w:p>
    <w:p>
      <w:pPr>
        <w:spacing w:line="400" w:lineRule="atLeast"/>
        <w:ind w:firstLine="480"/>
        <w:rPr>
          <w:rFonts w:hint="eastAsia" w:ascii="仿宋" w:hAnsi="仿宋" w:eastAsia="仿宋" w:cs="仿宋"/>
          <w:sz w:val="24"/>
          <w:szCs w:val="24"/>
        </w:rPr>
      </w:pPr>
      <w:r>
        <w:rPr>
          <w:rFonts w:hint="eastAsia" w:ascii="仿宋" w:hAnsi="仿宋" w:eastAsia="仿宋" w:cs="仿宋"/>
          <w:sz w:val="24"/>
          <w:szCs w:val="24"/>
        </w:rPr>
        <w:t>6、法律、行政法规规定的其他条件。</w:t>
      </w:r>
    </w:p>
    <w:p>
      <w:pPr>
        <w:spacing w:line="400" w:lineRule="atLeas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（二）特定资格条件</w:t>
      </w:r>
    </w:p>
    <w:p>
      <w:pPr>
        <w:pStyle w:val="8"/>
        <w:spacing w:beforeAutospacing="0" w:after="196" w:afterAutospacing="0" w:line="420" w:lineRule="atLeast"/>
        <w:ind w:firstLine="480" w:firstLineChars="200"/>
        <w:rPr>
          <w:rFonts w:hint="eastAsia" w:ascii="仿宋" w:hAnsi="仿宋" w:eastAsia="仿宋" w:cs="仿宋"/>
          <w:kern w:val="2"/>
          <w:szCs w:val="24"/>
          <w:highlight w:val="none"/>
          <w:lang w:val="en-US" w:eastAsia="zh-CN"/>
        </w:rPr>
      </w:pPr>
      <w:r>
        <w:rPr>
          <w:rFonts w:hint="eastAsia" w:ascii="仿宋" w:hAnsi="仿宋" w:eastAsia="仿宋" w:cs="仿宋"/>
          <w:kern w:val="2"/>
          <w:szCs w:val="24"/>
          <w:highlight w:val="none"/>
          <w:lang w:val="en-US" w:eastAsia="zh-CN"/>
        </w:rPr>
        <w:t>1.投标人</w:t>
      </w:r>
      <w:r>
        <w:rPr>
          <w:rFonts w:hint="eastAsia" w:ascii="仿宋" w:hAnsi="仿宋" w:eastAsia="仿宋" w:cs="仿宋"/>
          <w:kern w:val="2"/>
          <w:szCs w:val="24"/>
          <w:highlight w:val="none"/>
        </w:rPr>
        <w:t>具有行政主管部门颁发的</w:t>
      </w:r>
      <w:r>
        <w:rPr>
          <w:rFonts w:hint="eastAsia" w:ascii="仿宋" w:hAnsi="仿宋" w:eastAsia="仿宋" w:cs="仿宋"/>
          <w:color w:val="auto"/>
          <w:kern w:val="2"/>
          <w:szCs w:val="24"/>
          <w:highlight w:val="none"/>
        </w:rPr>
        <w:t>有效的机电工程施工总承包或建筑机电安</w:t>
      </w:r>
      <w:r>
        <w:rPr>
          <w:rFonts w:hint="eastAsia" w:ascii="仿宋" w:hAnsi="仿宋" w:eastAsia="仿宋" w:cs="仿宋"/>
          <w:kern w:val="2"/>
          <w:szCs w:val="24"/>
          <w:highlight w:val="none"/>
          <w:lang w:val="en-US" w:eastAsia="zh-CN"/>
        </w:rPr>
        <w:t>装工程专业承包贰级及以上资质，及电子与智能化工程专业承包贰级及以上资质；同时具有有效的安全生产许可证。</w:t>
      </w:r>
    </w:p>
    <w:p>
      <w:pPr>
        <w:pStyle w:val="8"/>
        <w:spacing w:beforeAutospacing="0" w:after="196" w:afterAutospacing="0" w:line="420" w:lineRule="atLeast"/>
        <w:ind w:firstLine="480" w:firstLineChars="200"/>
        <w:rPr>
          <w:rFonts w:hint="eastAsia" w:ascii="仿宋" w:hAnsi="仿宋" w:eastAsia="仿宋" w:cs="仿宋"/>
          <w:kern w:val="2"/>
          <w:szCs w:val="24"/>
          <w:highlight w:val="none"/>
          <w:lang w:val="en-US" w:eastAsia="zh-CN"/>
        </w:rPr>
      </w:pPr>
      <w:r>
        <w:rPr>
          <w:rFonts w:hint="eastAsia" w:ascii="仿宋" w:hAnsi="仿宋" w:eastAsia="仿宋" w:cs="仿宋"/>
          <w:kern w:val="2"/>
          <w:szCs w:val="24"/>
          <w:highlight w:val="none"/>
          <w:lang w:val="en-US" w:eastAsia="zh-CN"/>
        </w:rPr>
        <w:t>2. 若投标产品有属于二、三类医疗器械的，投标人须具有医疗器械经营企业许可证或经营备案凭证或已实施“多证合一”的提供“多证合一”的营业执照。产品制造商须具有医疗器械生产许可证或生产备案登记表。投标产品须具有医疗器械注册证或备案登记表。</w:t>
      </w:r>
    </w:p>
    <w:p>
      <w:pPr>
        <w:spacing w:line="360" w:lineRule="auto"/>
        <w:ind w:firstLine="240" w:firstLineChars="100"/>
        <w:rPr>
          <w:rFonts w:hint="eastAsia" w:ascii="仿宋" w:hAnsi="仿宋" w:eastAsia="仿宋" w:cs="仿宋"/>
          <w:sz w:val="24"/>
        </w:rPr>
      </w:pPr>
    </w:p>
    <w:p>
      <w:pPr>
        <w:pStyle w:val="7"/>
        <w:rPr>
          <w:rFonts w:hint="eastAsia" w:ascii="仿宋" w:hAnsi="仿宋" w:eastAsia="仿宋" w:cs="仿宋"/>
          <w:sz w:val="24"/>
        </w:rPr>
      </w:pPr>
    </w:p>
    <w:p>
      <w:pPr>
        <w:tabs>
          <w:tab w:val="left" w:pos="900"/>
        </w:tabs>
        <w:snapToGrid w:val="0"/>
        <w:spacing w:line="360" w:lineRule="auto"/>
        <w:jc w:val="center"/>
        <w:rPr>
          <w:rFonts w:hint="eastAsia" w:ascii="仿宋" w:hAnsi="仿宋" w:eastAsia="仿宋" w:cs="仿宋"/>
          <w:sz w:val="24"/>
          <w:lang w:eastAsia="zh-CN"/>
        </w:rPr>
      </w:pPr>
      <w:r>
        <w:rPr>
          <w:rFonts w:hint="eastAsia" w:ascii="仿宋" w:hAnsi="仿宋" w:eastAsia="仿宋" w:cs="仿宋"/>
          <w:b/>
          <w:sz w:val="30"/>
          <w:szCs w:val="30"/>
        </w:rPr>
        <w:t>组合式空调机组技术要求</w:t>
      </w:r>
      <w:r>
        <w:rPr>
          <w:rFonts w:hint="eastAsia" w:ascii="仿宋" w:hAnsi="仿宋" w:eastAsia="仿宋" w:cs="仿宋"/>
          <w:b/>
          <w:sz w:val="30"/>
          <w:szCs w:val="30"/>
          <w:lang w:eastAsia="zh-CN"/>
        </w:rPr>
        <w:t>（</w:t>
      </w:r>
      <w:r>
        <w:rPr>
          <w:rFonts w:hint="eastAsia" w:ascii="仿宋" w:hAnsi="仿宋" w:eastAsia="仿宋" w:cs="仿宋"/>
          <w:b/>
          <w:sz w:val="30"/>
          <w:szCs w:val="30"/>
          <w:lang w:val="en-US" w:eastAsia="zh-CN"/>
        </w:rPr>
        <w:t>全新风净化处理机组</w:t>
      </w:r>
      <w:r>
        <w:rPr>
          <w:rFonts w:hint="eastAsia" w:ascii="仿宋" w:hAnsi="仿宋" w:eastAsia="仿宋" w:cs="仿宋"/>
          <w:b/>
          <w:sz w:val="30"/>
          <w:szCs w:val="30"/>
          <w:lang w:eastAsia="zh-CN"/>
        </w:rPr>
        <w:t>）</w:t>
      </w:r>
    </w:p>
    <w:p>
      <w:pPr>
        <w:spacing w:line="360" w:lineRule="auto"/>
        <w:ind w:firstLine="240" w:firstLineChars="100"/>
        <w:rPr>
          <w:rFonts w:hint="eastAsia" w:ascii="仿宋" w:hAnsi="仿宋" w:eastAsia="仿宋" w:cs="仿宋"/>
          <w:sz w:val="24"/>
        </w:rPr>
      </w:pPr>
      <w:r>
        <w:rPr>
          <w:rFonts w:hint="eastAsia" w:ascii="仿宋" w:hAnsi="仿宋" w:eastAsia="仿宋" w:cs="仿宋"/>
          <w:sz w:val="24"/>
        </w:rPr>
        <w:t>1.1投标设备应完全满足符合国标《组合式空调机组》 GB/T14294-2008的各项规定及要求；组合式空气处理机组采用模数化设计；组合式空调机组必须为原厂生产。</w:t>
      </w:r>
    </w:p>
    <w:p>
      <w:pPr>
        <w:tabs>
          <w:tab w:val="left" w:pos="709"/>
        </w:tabs>
        <w:spacing w:line="360" w:lineRule="auto"/>
        <w:ind w:left="480" w:leftChars="75" w:hanging="240" w:hangingChars="100"/>
        <w:rPr>
          <w:rFonts w:hint="eastAsia" w:ascii="仿宋" w:hAnsi="仿宋" w:eastAsia="仿宋" w:cs="仿宋"/>
          <w:sz w:val="24"/>
        </w:rPr>
      </w:pPr>
      <w:r>
        <w:rPr>
          <w:rFonts w:hint="eastAsia" w:ascii="仿宋" w:hAnsi="仿宋" w:eastAsia="仿宋" w:cs="仿宋"/>
          <w:sz w:val="24"/>
        </w:rPr>
        <w:t>1.2 制造厂家需有15年以上的空调器生产经验，并提供相应资质文件；</w:t>
      </w:r>
    </w:p>
    <w:p>
      <w:pPr>
        <w:tabs>
          <w:tab w:val="left" w:pos="709"/>
        </w:tabs>
        <w:spacing w:line="360" w:lineRule="auto"/>
        <w:ind w:left="483" w:leftChars="76" w:hanging="240" w:hangingChars="100"/>
        <w:rPr>
          <w:rFonts w:hint="eastAsia" w:ascii="仿宋" w:hAnsi="仿宋" w:eastAsia="仿宋" w:cs="仿宋"/>
          <w:sz w:val="24"/>
        </w:rPr>
      </w:pPr>
      <w:r>
        <w:rPr>
          <w:rFonts w:hint="eastAsia" w:ascii="仿宋" w:hAnsi="仿宋" w:eastAsia="仿宋" w:cs="仿宋"/>
          <w:sz w:val="24"/>
        </w:rPr>
        <w:t>1.3 所有产品必须为原厂原装未使用过的产品，箱体面板、热交器等均为自制</w:t>
      </w:r>
    </w:p>
    <w:p>
      <w:pPr>
        <w:tabs>
          <w:tab w:val="left" w:pos="709"/>
        </w:tabs>
        <w:spacing w:line="360" w:lineRule="auto"/>
        <w:rPr>
          <w:rFonts w:hint="eastAsia" w:ascii="仿宋" w:hAnsi="仿宋" w:eastAsia="仿宋" w:cs="仿宋"/>
          <w:sz w:val="24"/>
        </w:rPr>
      </w:pPr>
      <w:r>
        <w:rPr>
          <w:rFonts w:hint="eastAsia" w:ascii="仿宋" w:hAnsi="仿宋" w:eastAsia="仿宋" w:cs="仿宋"/>
          <w:sz w:val="24"/>
        </w:rPr>
        <w:t>不得由其它厂家代工贴牌；</w:t>
      </w:r>
    </w:p>
    <w:p>
      <w:pPr>
        <w:tabs>
          <w:tab w:val="left" w:pos="900"/>
        </w:tabs>
        <w:snapToGrid w:val="0"/>
        <w:spacing w:line="360" w:lineRule="auto"/>
        <w:ind w:firstLine="240" w:firstLineChars="100"/>
        <w:rPr>
          <w:rFonts w:hint="eastAsia" w:ascii="仿宋" w:hAnsi="仿宋" w:eastAsia="仿宋" w:cs="仿宋"/>
          <w:sz w:val="24"/>
        </w:rPr>
      </w:pPr>
      <w:r>
        <w:rPr>
          <w:rFonts w:hint="eastAsia" w:ascii="仿宋" w:hAnsi="仿宋" w:eastAsia="仿宋" w:cs="仿宋"/>
          <w:sz w:val="24"/>
        </w:rPr>
        <w:t>1.4组合空调机组风量的实测值不得低于额定值的95％，全压的实测值不得低于额定值。输入功率不高于额定值的110%。</w:t>
      </w:r>
    </w:p>
    <w:p>
      <w:pPr>
        <w:tabs>
          <w:tab w:val="left" w:pos="900"/>
        </w:tabs>
        <w:snapToGrid w:val="0"/>
        <w:spacing w:line="360" w:lineRule="auto"/>
        <w:ind w:firstLine="240" w:firstLineChars="100"/>
        <w:rPr>
          <w:rFonts w:hint="eastAsia" w:ascii="仿宋" w:hAnsi="仿宋" w:eastAsia="仿宋" w:cs="仿宋"/>
          <w:sz w:val="24"/>
        </w:rPr>
      </w:pPr>
      <w:r>
        <w:rPr>
          <w:rFonts w:hint="eastAsia" w:ascii="仿宋" w:hAnsi="仿宋" w:eastAsia="仿宋" w:cs="仿宋"/>
          <w:sz w:val="24"/>
        </w:rPr>
        <w:t>1.5投标文件中必须提供每种型号的空调机组的设备计算机软件设计选型计算书及图纸。计算书中必须提供：整机总重量；及各功能段的描述；各功能段主要部件的品牌、生产商名称、型号及主要技术参数等。空调机组设备的图纸上必须有各个功能段的名称、详图以及主要的技术参数。</w:t>
      </w:r>
    </w:p>
    <w:p>
      <w:pPr>
        <w:tabs>
          <w:tab w:val="left" w:pos="900"/>
        </w:tabs>
        <w:snapToGrid w:val="0"/>
        <w:spacing w:line="360" w:lineRule="auto"/>
        <w:ind w:firstLine="240" w:firstLineChars="100"/>
        <w:rPr>
          <w:rFonts w:hint="eastAsia" w:ascii="仿宋" w:hAnsi="仿宋" w:eastAsia="仿宋" w:cs="仿宋"/>
          <w:sz w:val="24"/>
        </w:rPr>
      </w:pPr>
      <w:r>
        <w:rPr>
          <w:rFonts w:hint="eastAsia" w:ascii="仿宋" w:hAnsi="仿宋" w:eastAsia="仿宋" w:cs="仿宋"/>
          <w:sz w:val="24"/>
        </w:rPr>
        <w:t>1.6 空调机组噪音必须满足设计要求。最大外形尺寸及重量尽量满足要求。</w:t>
      </w:r>
    </w:p>
    <w:p>
      <w:pPr>
        <w:widowControl/>
        <w:snapToGrid w:val="0"/>
        <w:spacing w:before="46" w:beforeLines="15" w:after="46" w:afterLines="15" w:line="360" w:lineRule="auto"/>
        <w:ind w:firstLine="240" w:firstLineChars="100"/>
        <w:jc w:val="left"/>
        <w:rPr>
          <w:rFonts w:hint="eastAsia" w:ascii="仿宋" w:hAnsi="仿宋" w:eastAsia="仿宋" w:cs="仿宋"/>
          <w:sz w:val="24"/>
        </w:rPr>
      </w:pPr>
      <w:r>
        <w:rPr>
          <w:rFonts w:hint="eastAsia" w:ascii="仿宋" w:hAnsi="仿宋" w:eastAsia="仿宋" w:cs="仿宋"/>
          <w:sz w:val="24"/>
        </w:rPr>
        <w:t>1.7 机组生产时，必须根据GB/T14294-2008《组合式空调机组》的要求，对机组的外观、标志、包装、启动运行、盘管耐压性能等进行测试。供货时，需每台机组提供针对上述各项的测试报告及合格证。</w:t>
      </w:r>
    </w:p>
    <w:p>
      <w:pPr>
        <w:tabs>
          <w:tab w:val="left" w:pos="900"/>
        </w:tabs>
        <w:snapToGrid w:val="0"/>
        <w:spacing w:line="360" w:lineRule="auto"/>
        <w:ind w:firstLine="240" w:firstLineChars="100"/>
        <w:rPr>
          <w:rFonts w:hint="eastAsia" w:ascii="仿宋" w:hAnsi="仿宋" w:eastAsia="仿宋" w:cs="仿宋"/>
          <w:sz w:val="24"/>
        </w:rPr>
      </w:pPr>
      <w:r>
        <w:rPr>
          <w:rFonts w:hint="eastAsia" w:ascii="仿宋" w:hAnsi="仿宋" w:eastAsia="仿宋" w:cs="仿宋"/>
          <w:sz w:val="24"/>
        </w:rPr>
        <w:t>1.8 每台机组应有产品铭牌，必须牢固着于设备正面显著位置。所提供设备铭牌必须具有指示、警告标识，铭牌内容应符合国家有关标准规定，内容应包括：</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机组名称、机组编号、机组主要技术参数（额定功率、风量,风机全压/机外余压、供冷量、供热量、进出水方向、电源规格、转速）、出厂编号、制造日期、制造厂名称。</w:t>
      </w:r>
    </w:p>
    <w:p>
      <w:pPr>
        <w:tabs>
          <w:tab w:val="left" w:pos="900"/>
        </w:tabs>
        <w:snapToGrid w:val="0"/>
        <w:spacing w:line="360" w:lineRule="auto"/>
        <w:ind w:firstLine="240" w:firstLineChars="100"/>
        <w:rPr>
          <w:rFonts w:hint="eastAsia" w:ascii="仿宋" w:hAnsi="仿宋" w:eastAsia="仿宋" w:cs="仿宋"/>
          <w:sz w:val="24"/>
        </w:rPr>
      </w:pPr>
      <w:r>
        <w:rPr>
          <w:rFonts w:hint="eastAsia" w:ascii="仿宋" w:hAnsi="仿宋" w:eastAsia="仿宋" w:cs="仿宋"/>
          <w:sz w:val="24"/>
        </w:rPr>
        <w:t>1.9 组合式空调机组机组强度等级D1，漏风率等级L1，传热系数T2，热桥系数TB1；机组应获得AHRI认证，机组强度等级CD1，漏风率等级CL1，传热系数CT1，热桥系数CB1。</w:t>
      </w:r>
    </w:p>
    <w:p>
      <w:pPr>
        <w:tabs>
          <w:tab w:val="left" w:pos="900"/>
        </w:tabs>
        <w:snapToGrid w:val="0"/>
        <w:spacing w:line="360" w:lineRule="auto"/>
        <w:ind w:firstLine="240"/>
        <w:rPr>
          <w:rFonts w:hint="eastAsia" w:ascii="仿宋" w:hAnsi="仿宋" w:eastAsia="仿宋" w:cs="仿宋"/>
          <w:sz w:val="24"/>
        </w:rPr>
      </w:pPr>
      <w:r>
        <w:rPr>
          <w:rFonts w:hint="eastAsia" w:ascii="仿宋" w:hAnsi="仿宋" w:eastAsia="仿宋" w:cs="仿宋"/>
          <w:sz w:val="24"/>
        </w:rPr>
        <w:t>1.10 制造厂商应能具备制造大风量机组经验，能提供国家空调设备质量监督检验中心（北京）或国家压缩机制冷设备质量监督检验中心（合肥），出具的风量不小于10万立方米/小时的空调机组的第三方检测报告。</w:t>
      </w:r>
    </w:p>
    <w:p>
      <w:pPr>
        <w:tabs>
          <w:tab w:val="left" w:pos="900"/>
        </w:tabs>
        <w:snapToGrid w:val="0"/>
        <w:spacing w:line="360" w:lineRule="auto"/>
        <w:ind w:firstLine="240"/>
        <w:rPr>
          <w:rFonts w:hint="eastAsia" w:ascii="仿宋" w:hAnsi="仿宋" w:eastAsia="仿宋" w:cs="仿宋"/>
          <w:sz w:val="24"/>
        </w:rPr>
      </w:pPr>
      <w:r>
        <w:rPr>
          <w:rFonts w:hint="eastAsia" w:ascii="仿宋" w:hAnsi="仿宋" w:eastAsia="仿宋" w:cs="仿宋"/>
          <w:sz w:val="24"/>
        </w:rPr>
        <w:t>1.11 制造厂商应能提供近三年内，2份及以上国家空调设备质量监督检验中心（北京）或国家压缩机制冷设备质量监督检验中心（合肥），出具的第三方检测报告(1.10条款所要求的检测报告不在此列)。</w:t>
      </w:r>
    </w:p>
    <w:p>
      <w:pPr>
        <w:tabs>
          <w:tab w:val="left" w:pos="900"/>
        </w:tabs>
        <w:snapToGrid w:val="0"/>
        <w:spacing w:line="360" w:lineRule="auto"/>
        <w:ind w:firstLine="240"/>
        <w:rPr>
          <w:rFonts w:hint="eastAsia" w:ascii="仿宋" w:hAnsi="仿宋" w:eastAsia="仿宋" w:cs="仿宋"/>
          <w:sz w:val="24"/>
        </w:rPr>
      </w:pPr>
      <w:r>
        <w:rPr>
          <w:rFonts w:hint="eastAsia" w:ascii="仿宋" w:hAnsi="仿宋" w:eastAsia="仿宋" w:cs="仿宋"/>
          <w:sz w:val="24"/>
        </w:rPr>
        <w:t>1.1</w:t>
      </w:r>
      <w:r>
        <w:rPr>
          <w:rFonts w:hint="eastAsia" w:ascii="仿宋" w:hAnsi="仿宋" w:eastAsia="仿宋" w:cs="仿宋"/>
          <w:sz w:val="24"/>
          <w:lang w:val="en-US" w:eastAsia="zh-CN"/>
        </w:rPr>
        <w:t>2</w:t>
      </w:r>
      <w:r>
        <w:rPr>
          <w:rFonts w:hint="eastAsia" w:ascii="仿宋" w:hAnsi="仿宋" w:eastAsia="仿宋" w:cs="仿宋"/>
          <w:sz w:val="24"/>
        </w:rPr>
        <w:t xml:space="preserve"> 制造厂商应在国内有10年以上的组合式空调机组及其他中央空调末端大型项目持续制造经验。</w:t>
      </w:r>
    </w:p>
    <w:p>
      <w:pPr>
        <w:pStyle w:val="7"/>
        <w:rPr>
          <w:rFonts w:hint="eastAsia" w:ascii="仿宋" w:hAnsi="仿宋" w:eastAsia="仿宋" w:cs="仿宋"/>
          <w:sz w:val="24"/>
        </w:rPr>
      </w:pPr>
    </w:p>
    <w:p>
      <w:pPr>
        <w:rPr>
          <w:rFonts w:hint="eastAsia" w:ascii="仿宋" w:hAnsi="仿宋" w:eastAsia="仿宋" w:cs="仿宋"/>
          <w:sz w:val="24"/>
        </w:rPr>
      </w:pPr>
    </w:p>
    <w:p>
      <w:pPr>
        <w:pStyle w:val="7"/>
        <w:rPr>
          <w:rFonts w:hint="eastAsia" w:ascii="仿宋" w:hAnsi="仿宋" w:eastAsia="仿宋" w:cs="仿宋"/>
          <w:sz w:val="24"/>
        </w:rPr>
      </w:pPr>
    </w:p>
    <w:p>
      <w:pPr>
        <w:rPr>
          <w:rFonts w:hint="eastAsia" w:ascii="仿宋" w:hAnsi="仿宋" w:eastAsia="仿宋" w:cs="仿宋"/>
          <w:sz w:val="24"/>
        </w:rPr>
      </w:pPr>
    </w:p>
    <w:p>
      <w:pPr>
        <w:pStyle w:val="7"/>
        <w:rPr>
          <w:rFonts w:hint="eastAsia" w:ascii="仿宋" w:hAnsi="仿宋" w:eastAsia="仿宋" w:cs="仿宋"/>
          <w:sz w:val="24"/>
        </w:rPr>
      </w:pPr>
    </w:p>
    <w:p>
      <w:pPr>
        <w:rPr>
          <w:rFonts w:hint="eastAsia" w:ascii="仿宋" w:hAnsi="仿宋" w:eastAsia="仿宋" w:cs="仿宋"/>
          <w:sz w:val="24"/>
        </w:rPr>
      </w:pPr>
    </w:p>
    <w:p>
      <w:pPr>
        <w:pStyle w:val="7"/>
        <w:rPr>
          <w:rFonts w:hint="eastAsia" w:ascii="仿宋" w:hAnsi="仿宋" w:eastAsia="仿宋" w:cs="仿宋"/>
          <w:sz w:val="24"/>
        </w:rPr>
      </w:pPr>
    </w:p>
    <w:p>
      <w:pPr>
        <w:rPr>
          <w:rFonts w:hint="eastAsia" w:ascii="仿宋" w:hAnsi="仿宋" w:eastAsia="仿宋" w:cs="仿宋"/>
          <w:sz w:val="24"/>
        </w:rPr>
      </w:pPr>
    </w:p>
    <w:p>
      <w:pPr>
        <w:pStyle w:val="7"/>
        <w:rPr>
          <w:rFonts w:hint="eastAsia" w:ascii="仿宋" w:hAnsi="仿宋" w:eastAsia="仿宋" w:cs="仿宋"/>
          <w:sz w:val="24"/>
        </w:rPr>
      </w:pPr>
    </w:p>
    <w:p>
      <w:pPr>
        <w:rPr>
          <w:rFonts w:hint="eastAsia" w:ascii="仿宋" w:hAnsi="仿宋" w:eastAsia="仿宋" w:cs="仿宋"/>
          <w:sz w:val="24"/>
        </w:rPr>
      </w:pPr>
    </w:p>
    <w:p>
      <w:pPr>
        <w:pStyle w:val="7"/>
        <w:rPr>
          <w:rFonts w:hint="eastAsia" w:ascii="仿宋" w:hAnsi="仿宋" w:eastAsia="仿宋" w:cs="仿宋"/>
          <w:sz w:val="24"/>
        </w:rPr>
      </w:pPr>
    </w:p>
    <w:p>
      <w:pPr>
        <w:rPr>
          <w:rFonts w:hint="eastAsia" w:ascii="仿宋" w:hAnsi="仿宋" w:eastAsia="仿宋" w:cs="仿宋"/>
          <w:sz w:val="24"/>
        </w:rPr>
      </w:pPr>
    </w:p>
    <w:p>
      <w:pPr>
        <w:pStyle w:val="7"/>
        <w:rPr>
          <w:rFonts w:hint="eastAsia" w:ascii="仿宋" w:hAnsi="仿宋" w:eastAsia="仿宋" w:cs="仿宋"/>
          <w:sz w:val="24"/>
        </w:rPr>
      </w:pPr>
    </w:p>
    <w:p>
      <w:pPr>
        <w:tabs>
          <w:tab w:val="left" w:pos="900"/>
        </w:tabs>
        <w:snapToGrid w:val="0"/>
        <w:spacing w:line="360" w:lineRule="auto"/>
        <w:jc w:val="center"/>
        <w:rPr>
          <w:rFonts w:hint="eastAsia" w:ascii="仿宋" w:hAnsi="仿宋" w:eastAsia="仿宋" w:cs="仿宋"/>
          <w:b/>
          <w:sz w:val="30"/>
          <w:szCs w:val="30"/>
        </w:rPr>
      </w:pPr>
      <w:bookmarkStart w:id="0" w:name="_GoBack"/>
      <w:bookmarkEnd w:id="0"/>
      <w:r>
        <w:rPr>
          <w:rFonts w:hint="eastAsia" w:ascii="仿宋" w:hAnsi="仿宋" w:eastAsia="仿宋" w:cs="仿宋"/>
          <w:b/>
          <w:sz w:val="30"/>
          <w:szCs w:val="30"/>
        </w:rPr>
        <w:t>组合式空调机组的箱体结构要求</w:t>
      </w:r>
    </w:p>
    <w:p>
      <w:pPr>
        <w:tabs>
          <w:tab w:val="left" w:pos="900"/>
        </w:tabs>
        <w:snapToGrid w:val="0"/>
        <w:spacing w:line="360" w:lineRule="auto"/>
        <w:ind w:firstLine="240" w:firstLineChars="100"/>
        <w:rPr>
          <w:rFonts w:hint="eastAsia" w:ascii="仿宋" w:hAnsi="仿宋" w:eastAsia="仿宋" w:cs="仿宋"/>
          <w:color w:val="auto"/>
          <w:sz w:val="24"/>
        </w:rPr>
      </w:pPr>
      <w:r>
        <w:rPr>
          <w:rFonts w:hint="eastAsia" w:ascii="仿宋" w:hAnsi="仿宋" w:eastAsia="仿宋" w:cs="仿宋"/>
          <w:color w:val="auto"/>
          <w:sz w:val="24"/>
        </w:rPr>
        <w:t>2.1组合式空调机组的箱体需通过带有高强度铝型材的聚氨酯发泡面板整体拼接而成，铝型材需要进行氧化镀膜处理；要求对空调箱体的结构进行详细描述，并提供细部结构示意图。不得采用角钢、方钢等型钢结构。</w:t>
      </w:r>
    </w:p>
    <w:p>
      <w:pPr>
        <w:tabs>
          <w:tab w:val="left" w:pos="900"/>
        </w:tabs>
        <w:snapToGrid w:val="0"/>
        <w:spacing w:line="360" w:lineRule="auto"/>
        <w:ind w:firstLine="240" w:firstLineChars="100"/>
        <w:rPr>
          <w:rFonts w:hint="eastAsia" w:ascii="仿宋" w:hAnsi="仿宋" w:eastAsia="仿宋" w:cs="仿宋"/>
          <w:sz w:val="24"/>
        </w:rPr>
      </w:pPr>
      <w:r>
        <w:rPr>
          <w:rFonts w:hint="eastAsia" w:ascii="仿宋" w:hAnsi="仿宋" w:eastAsia="仿宋" w:cs="仿宋"/>
          <w:sz w:val="24"/>
        </w:rPr>
        <w:t>2.2面板：外板采用不低于0.4mm彩涂板，彩涂板基材为镀锌钢板，镀锌钢板镀锌量不少于140g/㎡，外表面采用聚酯涂层保护，外侧涂层厚度为不少于20 μm，内侧涂层厚度为不少于8 μm；（彩涂板基材为镀锌钢板，镀锌钢板两面的镀锌量</w:t>
      </w:r>
      <w:r>
        <w:rPr>
          <w:rFonts w:hint="eastAsia" w:ascii="仿宋" w:hAnsi="仿宋" w:eastAsia="仿宋" w:cs="仿宋"/>
          <w:sz w:val="24"/>
          <w:lang w:val="en-US" w:eastAsia="zh-CN"/>
        </w:rPr>
        <w:t>总和</w:t>
      </w:r>
      <w:r>
        <w:rPr>
          <w:rFonts w:hint="eastAsia" w:ascii="仿宋" w:hAnsi="仿宋" w:eastAsia="仿宋" w:cs="仿宋"/>
          <w:sz w:val="24"/>
        </w:rPr>
        <w:t>不少于180g/㎡，外表面采用聚酯涂层保护，外侧涂层厚度为不少于20 μm，内侧涂层厚度为不少于8 μm；）外板必须带保护膜，保证机组外表面无明显划伤、锈蚀和压痕，涂层均匀色调一致，无气泡和剥落。内板采用不低于0.4mm镀铝锌板，镀铝锌钢板两面的镀层量不少于100g/㎡，镀层铝元素占比不得小于55%。</w:t>
      </w:r>
    </w:p>
    <w:p>
      <w:pPr>
        <w:tabs>
          <w:tab w:val="left" w:pos="900"/>
        </w:tabs>
        <w:snapToGrid w:val="0"/>
        <w:spacing w:line="360" w:lineRule="auto"/>
        <w:ind w:firstLine="240" w:firstLineChars="100"/>
        <w:rPr>
          <w:rFonts w:hint="eastAsia" w:ascii="仿宋" w:hAnsi="仿宋" w:eastAsia="仿宋" w:cs="仿宋"/>
          <w:color w:val="000000"/>
          <w:sz w:val="24"/>
        </w:rPr>
      </w:pPr>
      <w:r>
        <w:rPr>
          <w:rFonts w:hint="eastAsia" w:ascii="仿宋" w:hAnsi="仿宋" w:eastAsia="仿宋" w:cs="仿宋"/>
          <w:color w:val="000000"/>
          <w:sz w:val="24"/>
        </w:rPr>
        <w:t>2.3采用线接触的结构密封，不得采用平面接触密封方式，以降低漏风率。面板需通过高强度螺栓固定，不得采用自攻螺钉固定，以降低漏风率。漏风率要求≤0.1%，需提供第三方测试报告。</w:t>
      </w:r>
    </w:p>
    <w:p>
      <w:pPr>
        <w:tabs>
          <w:tab w:val="left" w:pos="900"/>
        </w:tabs>
        <w:snapToGrid w:val="0"/>
        <w:spacing w:line="360" w:lineRule="auto"/>
        <w:ind w:firstLine="240" w:firstLineChars="100"/>
        <w:rPr>
          <w:rFonts w:hint="eastAsia" w:ascii="仿宋" w:hAnsi="仿宋" w:eastAsia="仿宋" w:cs="仿宋"/>
          <w:sz w:val="24"/>
        </w:rPr>
      </w:pPr>
      <w:r>
        <w:rPr>
          <w:rFonts w:hint="eastAsia" w:ascii="仿宋" w:hAnsi="仿宋" w:eastAsia="仿宋" w:cs="仿宋"/>
          <w:sz w:val="24"/>
        </w:rPr>
        <w:t>2.4面板中间采用</w:t>
      </w:r>
      <w:r>
        <w:rPr>
          <w:rFonts w:hint="eastAsia" w:ascii="仿宋" w:hAnsi="仿宋" w:eastAsia="仿宋" w:cs="仿宋"/>
          <w:bCs/>
          <w:sz w:val="24"/>
        </w:rPr>
        <w:t>环保无氟聚氨脂整体高压发泡</w:t>
      </w:r>
      <w:r>
        <w:rPr>
          <w:rFonts w:hint="eastAsia" w:ascii="仿宋" w:hAnsi="仿宋" w:eastAsia="仿宋" w:cs="仿宋"/>
          <w:sz w:val="24"/>
        </w:rPr>
        <w:t>，密度不低于48kg/m^3，导热系数≤0.02</w:t>
      </w:r>
      <w:r>
        <w:rPr>
          <w:rFonts w:hint="eastAsia" w:ascii="仿宋" w:hAnsi="仿宋" w:eastAsia="仿宋" w:cs="仿宋"/>
          <w:b/>
          <w:bCs/>
          <w:sz w:val="24"/>
        </w:rPr>
        <w:t xml:space="preserve"> </w:t>
      </w:r>
      <w:r>
        <w:rPr>
          <w:rFonts w:hint="eastAsia" w:ascii="仿宋" w:hAnsi="仿宋" w:eastAsia="仿宋" w:cs="仿宋"/>
          <w:bCs/>
          <w:sz w:val="24"/>
        </w:rPr>
        <w:t>W/m*℃。以上需提供聚氨酯发泡材料的第三方测试报告，</w:t>
      </w:r>
      <w:r>
        <w:rPr>
          <w:rFonts w:hint="eastAsia" w:ascii="仿宋" w:hAnsi="仿宋" w:eastAsia="仿宋" w:cs="仿宋"/>
          <w:sz w:val="24"/>
        </w:rPr>
        <w:t>不得采用石棉或玻璃棉作为保温材料。</w:t>
      </w:r>
    </w:p>
    <w:p>
      <w:pPr>
        <w:rPr>
          <w:rFonts w:hint="eastAsia" w:ascii="仿宋" w:hAnsi="仿宋" w:eastAsia="仿宋" w:cs="仿宋"/>
        </w:rPr>
      </w:pPr>
    </w:p>
    <w:p>
      <w:pPr>
        <w:rPr>
          <w:rFonts w:hint="eastAsia" w:ascii="仿宋" w:hAnsi="仿宋" w:eastAsia="仿宋" w:cs="仿宋"/>
        </w:rPr>
      </w:pPr>
    </w:p>
    <w:p>
      <w:pPr>
        <w:tabs>
          <w:tab w:val="left" w:pos="900"/>
        </w:tabs>
        <w:snapToGrid w:val="0"/>
        <w:spacing w:line="360" w:lineRule="auto"/>
        <w:rPr>
          <w:rFonts w:hint="eastAsia" w:ascii="仿宋" w:hAnsi="仿宋" w:eastAsia="仿宋" w:cs="仿宋"/>
          <w:b/>
          <w:sz w:val="30"/>
          <w:szCs w:val="30"/>
        </w:rPr>
      </w:pPr>
    </w:p>
    <w:p>
      <w:pPr>
        <w:pStyle w:val="7"/>
        <w:rPr>
          <w:rFonts w:hint="eastAsia" w:ascii="仿宋" w:hAnsi="仿宋" w:eastAsia="仿宋" w:cs="仿宋"/>
          <w:b/>
          <w:sz w:val="30"/>
          <w:szCs w:val="30"/>
        </w:rPr>
      </w:pPr>
    </w:p>
    <w:p>
      <w:pPr>
        <w:rPr>
          <w:rFonts w:hint="eastAsia" w:ascii="仿宋" w:hAnsi="仿宋" w:eastAsia="仿宋" w:cs="仿宋"/>
          <w:b/>
          <w:sz w:val="30"/>
          <w:szCs w:val="30"/>
        </w:rPr>
      </w:pPr>
    </w:p>
    <w:p>
      <w:pPr>
        <w:pStyle w:val="7"/>
        <w:rPr>
          <w:rFonts w:hint="eastAsia" w:ascii="仿宋" w:hAnsi="仿宋" w:eastAsia="仿宋" w:cs="仿宋"/>
          <w:b/>
          <w:sz w:val="30"/>
          <w:szCs w:val="30"/>
        </w:rPr>
      </w:pPr>
    </w:p>
    <w:p>
      <w:pPr>
        <w:rPr>
          <w:rFonts w:hint="eastAsia" w:ascii="仿宋" w:hAnsi="仿宋" w:eastAsia="仿宋" w:cs="仿宋"/>
          <w:b/>
          <w:sz w:val="30"/>
          <w:szCs w:val="30"/>
        </w:rPr>
      </w:pPr>
    </w:p>
    <w:p>
      <w:pPr>
        <w:pStyle w:val="7"/>
        <w:rPr>
          <w:rFonts w:hint="eastAsia" w:ascii="仿宋" w:hAnsi="仿宋" w:eastAsia="仿宋" w:cs="仿宋"/>
        </w:rPr>
      </w:pPr>
    </w:p>
    <w:p>
      <w:pPr>
        <w:tabs>
          <w:tab w:val="left" w:pos="900"/>
        </w:tabs>
        <w:snapToGrid w:val="0"/>
        <w:spacing w:line="360" w:lineRule="auto"/>
        <w:jc w:val="center"/>
        <w:rPr>
          <w:rFonts w:hint="eastAsia" w:ascii="仿宋" w:hAnsi="仿宋" w:eastAsia="仿宋" w:cs="仿宋"/>
          <w:b/>
          <w:sz w:val="30"/>
          <w:szCs w:val="30"/>
          <w:lang w:val="en-US" w:eastAsia="zh-CN"/>
        </w:rPr>
      </w:pPr>
      <w:r>
        <w:rPr>
          <w:rFonts w:hint="eastAsia" w:ascii="仿宋" w:hAnsi="仿宋" w:eastAsia="仿宋" w:cs="仿宋"/>
          <w:b/>
          <w:sz w:val="30"/>
          <w:szCs w:val="30"/>
        </w:rPr>
        <w:t>模块式风冷热泵机组</w:t>
      </w:r>
      <w:r>
        <w:rPr>
          <w:rFonts w:hint="eastAsia" w:ascii="仿宋" w:hAnsi="仿宋" w:eastAsia="仿宋" w:cs="仿宋"/>
          <w:b/>
          <w:sz w:val="30"/>
          <w:szCs w:val="30"/>
          <w:lang w:val="en-US" w:eastAsia="zh-CN"/>
        </w:rPr>
        <w:t>技术要求</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1、机组采用R410A环保制冷剂。</w:t>
      </w:r>
    </w:p>
    <w:p>
      <w:pPr>
        <w:tabs>
          <w:tab w:val="left" w:pos="900"/>
        </w:tabs>
        <w:snapToGrid w:val="0"/>
        <w:spacing w:line="360" w:lineRule="auto"/>
        <w:rPr>
          <w:rFonts w:hint="eastAsia" w:ascii="仿宋" w:hAnsi="仿宋" w:eastAsia="仿宋" w:cs="仿宋"/>
          <w:sz w:val="24"/>
          <w:lang w:val="en-US" w:eastAsia="zh-CN"/>
        </w:rPr>
      </w:pPr>
      <w:r>
        <w:rPr>
          <w:rFonts w:hint="eastAsia" w:ascii="仿宋" w:hAnsi="仿宋" w:eastAsia="仿宋" w:cs="仿宋"/>
          <w:sz w:val="24"/>
        </w:rPr>
        <w:t>2、压缩机品牌：</w:t>
      </w:r>
      <w:r>
        <w:rPr>
          <w:rFonts w:hint="eastAsia" w:ascii="仿宋" w:hAnsi="仿宋" w:eastAsia="仿宋" w:cs="仿宋"/>
          <w:sz w:val="24"/>
          <w:lang w:val="en-US" w:eastAsia="zh-CN"/>
        </w:rPr>
        <w:t>麦克维尔、大金，或品质不低于上述品牌产品。</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3、水侧换热器型式：真空钎焊板式换热器（材质：不锈钢）。</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4、空气侧换热器需采用环形结构，铜管采用内螺纹铜管，翅片采用亲水铝箔。</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5、节流部件采用进口品牌的电子膨胀阀。</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6、机组散热器风扇采用优化设计的双速轴流风机，高/低档自动调节。</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7、每台模块须配置水压差开关，保障机组在安全水流量下运行。</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8、机组下半部分钣金密封，保护机组压缩机等部件，防止机组内部零部件老化，并起到隔音作用。</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9、每台模块须配置安装于机组进口管道上的Y型过滤器。</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10、机组采用四压缩机双制冷回路设计，模块组合时应可实现多级容量调节，调节级数为模块组合台数的四倍。双系统的机组，当其中系统出现故障时，另一个系统可不受影响的正常运行。</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11、型式：机组应采用模块化设计，每组最大组合台数应不小于16台，线控器控制整组机组,每组机组需标配线控器。可选集中线控器，至少可控制8组模块机。</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12、单台模块机名义制冷量不小于130kW。</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13、在名义工况下，COP（制冷性能系数kW/kW）不小于3.33，达到国家二级能效，获得国家节能产品认证，以及提供对应的第三方权威检测机构的COP检验报告。</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14、综合能效系数IPLV不低于4.34，提供第三方权威机构IPLV测试报告。</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15、投标机型应通过CRAA认证，并提供CRAA认证证书。</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16、除霜系统：须有稳定可靠的自动除霜系统且不以降低保温水箱水温为代价，不增加耗能的辅助除霜设备（如电加热除霜）。模块组合后，须具有间隔除霜功能，且保证系统内运行除霜模式的系统数不超过总台数的一半。应可更具实际情况手动设置除霜。</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17、运行范围：机组应确保在室外环境温度5℃～48℃时可正常运行制冷模式；在室外环境温度-15℃～30℃时可正常运行制热模式。</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18、出水温度：制冷工况时，机组冷冻水出水温度范围为5～20℃；制热工况时，机组热水出水温度范围为30～55℃。</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19、噪声：单台模块机组噪声应不大于69dB(A) ，以及提供国家认可实验室出具的噪声测试报告及噪声频谱数据；并且机组须具有自动调节的智能静音模式和手动调节的强制静音模式，至少降低机组噪音3 dB(A) 。</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20、机组水压降不超过25kPa，节省更多的水泵运行费用。</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21、单台模块机组占地面积不超过2.4m2，以节省安装空间；</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22、模块组合时，任何一台从机需要维护或维修时不影响其他机组的正常运行。</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23、模块组合时，应具有分级启动功能，降低启动电流，减少对电网的冲击。</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24、模块组合时，可现场更改主/从机属性，以及时应对主机故障的发生。</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25、机组可选出水温度控制，提升空调舒适性。</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26、机组标准配置ModBus协议，可免费接入楼宇自控系统。</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27、控制系统能记录每台压缩机的历史运行时间，优先启动运行时间最短的压缩机，实现平均磨损，延长机组的整体寿命。</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28、机组可通过线控器设定制冷/制热的进/出水温度，可设置定时开关机，具有断电记忆功能、自检功能、故障报警及故障代码显示功能。</w:t>
      </w:r>
    </w:p>
    <w:p>
      <w:pPr>
        <w:tabs>
          <w:tab w:val="left" w:pos="900"/>
        </w:tabs>
        <w:snapToGrid w:val="0"/>
        <w:spacing w:line="360" w:lineRule="auto"/>
        <w:rPr>
          <w:rFonts w:hint="eastAsia" w:ascii="仿宋" w:hAnsi="仿宋" w:eastAsia="仿宋" w:cs="仿宋"/>
          <w:sz w:val="24"/>
        </w:rPr>
      </w:pPr>
      <w:r>
        <w:rPr>
          <w:rFonts w:hint="eastAsia" w:ascii="仿宋" w:hAnsi="仿宋" w:eastAsia="仿宋" w:cs="仿宋"/>
          <w:sz w:val="24"/>
        </w:rPr>
        <w:t>29、热泵机组应具备以下保护功能及故障报警功能：压缩机/风机过载保护、水泵过载保护、水系统电加热过载保护、高低压保护、过热度过小保护、进出水温度过低保护、环境温度过高或过低保护、排气/回气温度过高保护、水流保护、电源保护、冬季防冻保护、板换防冻保护、从机通讯故障报警、温度传感器故障报警、制冷剂泄漏报警、线控器与主机通讯故障报警。</w:t>
      </w:r>
    </w:p>
    <w:p>
      <w:pPr>
        <w:tabs>
          <w:tab w:val="left" w:pos="900"/>
        </w:tabs>
        <w:snapToGrid w:val="0"/>
        <w:spacing w:line="360" w:lineRule="auto"/>
        <w:rPr>
          <w:rFonts w:hint="eastAsia" w:ascii="仿宋" w:hAnsi="仿宋" w:eastAsia="仿宋" w:cs="仿宋"/>
          <w:sz w:val="24"/>
        </w:rPr>
      </w:pPr>
    </w:p>
    <w:p>
      <w:pPr>
        <w:tabs>
          <w:tab w:val="left" w:pos="900"/>
        </w:tabs>
        <w:snapToGrid w:val="0"/>
        <w:spacing w:line="360" w:lineRule="auto"/>
        <w:rPr>
          <w:rFonts w:hint="eastAsia" w:ascii="仿宋" w:hAnsi="仿宋" w:eastAsia="仿宋" w:cs="仿宋"/>
          <w:sz w:val="24"/>
        </w:rPr>
      </w:pPr>
    </w:p>
    <w:p>
      <w:pPr>
        <w:tabs>
          <w:tab w:val="left" w:pos="900"/>
        </w:tabs>
        <w:snapToGrid w:val="0"/>
        <w:spacing w:line="360" w:lineRule="auto"/>
        <w:rPr>
          <w:rFonts w:hint="eastAsia" w:ascii="仿宋" w:hAnsi="仿宋" w:eastAsia="仿宋" w:cs="仿宋"/>
          <w:sz w:val="24"/>
        </w:rPr>
      </w:pPr>
    </w:p>
    <w:p>
      <w:pPr>
        <w:tabs>
          <w:tab w:val="left" w:pos="900"/>
        </w:tabs>
        <w:snapToGrid w:val="0"/>
        <w:spacing w:line="360" w:lineRule="auto"/>
        <w:rPr>
          <w:rFonts w:hint="eastAsia" w:ascii="仿宋" w:hAnsi="仿宋" w:eastAsia="仿宋" w:cs="仿宋"/>
          <w:sz w:val="24"/>
        </w:rPr>
      </w:pPr>
    </w:p>
    <w:p>
      <w:pPr>
        <w:tabs>
          <w:tab w:val="left" w:pos="900"/>
        </w:tabs>
        <w:snapToGrid w:val="0"/>
        <w:spacing w:line="360" w:lineRule="auto"/>
        <w:rPr>
          <w:rFonts w:hint="eastAsia" w:ascii="仿宋" w:hAnsi="仿宋" w:eastAsia="仿宋" w:cs="仿宋"/>
          <w:sz w:val="24"/>
        </w:rPr>
      </w:pPr>
    </w:p>
    <w:p>
      <w:pPr>
        <w:tabs>
          <w:tab w:val="left" w:pos="900"/>
        </w:tabs>
        <w:snapToGrid w:val="0"/>
        <w:spacing w:line="360" w:lineRule="auto"/>
        <w:rPr>
          <w:rFonts w:hint="eastAsia" w:ascii="仿宋" w:hAnsi="仿宋" w:eastAsia="仿宋" w:cs="仿宋"/>
          <w:sz w:val="24"/>
        </w:rPr>
      </w:pPr>
    </w:p>
    <w:p>
      <w:pPr>
        <w:tabs>
          <w:tab w:val="left" w:pos="900"/>
        </w:tabs>
        <w:snapToGrid w:val="0"/>
        <w:spacing w:line="360" w:lineRule="auto"/>
        <w:rPr>
          <w:rFonts w:hint="eastAsia" w:ascii="仿宋" w:hAnsi="仿宋" w:eastAsia="仿宋" w:cs="仿宋"/>
          <w:sz w:val="24"/>
        </w:rPr>
      </w:pPr>
    </w:p>
    <w:p>
      <w:pPr>
        <w:tabs>
          <w:tab w:val="left" w:pos="900"/>
        </w:tabs>
        <w:snapToGrid w:val="0"/>
        <w:spacing w:line="360" w:lineRule="auto"/>
        <w:rPr>
          <w:rFonts w:hint="eastAsia" w:ascii="仿宋" w:hAnsi="仿宋" w:eastAsia="仿宋" w:cs="仿宋"/>
          <w:sz w:val="24"/>
        </w:rPr>
      </w:pPr>
    </w:p>
    <w:p>
      <w:pPr>
        <w:tabs>
          <w:tab w:val="left" w:pos="900"/>
        </w:tabs>
        <w:snapToGrid w:val="0"/>
        <w:spacing w:line="360" w:lineRule="auto"/>
        <w:rPr>
          <w:rFonts w:hint="eastAsia" w:ascii="仿宋" w:hAnsi="仿宋" w:eastAsia="仿宋" w:cs="仿宋"/>
          <w:sz w:val="24"/>
        </w:rPr>
      </w:pPr>
    </w:p>
    <w:p>
      <w:pPr>
        <w:tabs>
          <w:tab w:val="left" w:pos="900"/>
        </w:tabs>
        <w:snapToGrid w:val="0"/>
        <w:spacing w:line="360" w:lineRule="auto"/>
        <w:jc w:val="center"/>
        <w:rPr>
          <w:rFonts w:hint="eastAsia" w:ascii="仿宋" w:hAnsi="仿宋" w:eastAsia="仿宋" w:cs="仿宋"/>
          <w:b/>
          <w:sz w:val="30"/>
          <w:szCs w:val="30"/>
          <w:lang w:val="en-US" w:eastAsia="zh-CN"/>
        </w:rPr>
      </w:pPr>
      <w:r>
        <w:rPr>
          <w:rFonts w:hint="eastAsia" w:ascii="仿宋" w:hAnsi="仿宋" w:eastAsia="仿宋" w:cs="仿宋"/>
          <w:b/>
          <w:sz w:val="30"/>
          <w:szCs w:val="30"/>
          <w:lang w:val="en-US" w:eastAsia="zh-CN"/>
        </w:rPr>
        <w:t>消毒空调机组技术要求</w:t>
      </w:r>
    </w:p>
    <w:p>
      <w:pPr>
        <w:widowControl/>
        <w:jc w:val="left"/>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1.产品符合《消毒技术规范》（2002年版）2.1.3中关于白色葡萄球菌消亡率≥99.9%的要求；</w:t>
      </w:r>
    </w:p>
    <w:p>
      <w:pPr>
        <w:widowControl/>
        <w:jc w:val="left"/>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2.产品符合《消毒技术规范》（2002年版）2.1.3中关于自然菌消亡率≥90%的要求；</w:t>
      </w:r>
    </w:p>
    <w:p>
      <w:pPr>
        <w:widowControl/>
        <w:jc w:val="left"/>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3.产品的消毒杀菌电场≥8KV；</w:t>
      </w:r>
    </w:p>
    <w:p>
      <w:pPr>
        <w:widowControl/>
        <w:jc w:val="left"/>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4.精准控制房间温度，≥10英寸彩色控制屏实时可调；</w:t>
      </w:r>
    </w:p>
    <w:p>
      <w:pPr>
        <w:widowControl/>
        <w:jc w:val="left"/>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5.空气调节消毒</w:t>
      </w:r>
      <w:r>
        <w:rPr>
          <w:rFonts w:hint="eastAsia" w:ascii="仿宋" w:hAnsi="仿宋" w:eastAsia="仿宋" w:cs="仿宋"/>
          <w:kern w:val="2"/>
          <w:sz w:val="24"/>
          <w:szCs w:val="24"/>
        </w:rPr>
        <w:t>机组具备</w:t>
      </w:r>
      <w:r>
        <w:rPr>
          <w:rFonts w:hint="eastAsia" w:ascii="仿宋" w:hAnsi="仿宋" w:eastAsia="仿宋" w:cs="仿宋"/>
          <w:color w:val="000000"/>
          <w:kern w:val="0"/>
          <w:sz w:val="24"/>
          <w:szCs w:val="24"/>
        </w:rPr>
        <w:t>空调+消毒、定时消毒、空调三种模式自由切换；</w:t>
      </w:r>
    </w:p>
    <w:p>
      <w:pPr>
        <w:widowControl/>
        <w:jc w:val="left"/>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6.485接口，自由通讯，可实现手机APP远程控制；                           </w:t>
      </w:r>
    </w:p>
    <w:p>
      <w:pPr>
        <w:widowControl/>
        <w:jc w:val="left"/>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7.产品符合GB/T 14294-2008《组合式空调机组》标准要求；8.空气调节消毒</w:t>
      </w:r>
      <w:r>
        <w:rPr>
          <w:rFonts w:hint="eastAsia" w:ascii="仿宋" w:hAnsi="仿宋" w:eastAsia="仿宋" w:cs="仿宋"/>
          <w:kern w:val="2"/>
          <w:sz w:val="24"/>
          <w:szCs w:val="24"/>
        </w:rPr>
        <w:t>机组</w:t>
      </w:r>
      <w:r>
        <w:rPr>
          <w:rFonts w:hint="eastAsia" w:ascii="仿宋" w:hAnsi="仿宋" w:eastAsia="仿宋" w:cs="仿宋"/>
          <w:color w:val="000000"/>
          <w:kern w:val="0"/>
          <w:sz w:val="24"/>
          <w:szCs w:val="24"/>
        </w:rPr>
        <w:t>风量≥1</w:t>
      </w:r>
      <w:r>
        <w:rPr>
          <w:rFonts w:hint="eastAsia" w:ascii="仿宋" w:hAnsi="仿宋" w:eastAsia="仿宋" w:cs="仿宋"/>
          <w:color w:val="000000"/>
          <w:kern w:val="0"/>
          <w:sz w:val="24"/>
          <w:szCs w:val="24"/>
          <w:lang w:val="en-US" w:eastAsia="zh-CN"/>
        </w:rPr>
        <w:t>2</w:t>
      </w:r>
      <w:r>
        <w:rPr>
          <w:rFonts w:hint="eastAsia" w:ascii="仿宋" w:hAnsi="仿宋" w:eastAsia="仿宋" w:cs="仿宋"/>
          <w:color w:val="000000"/>
          <w:kern w:val="0"/>
          <w:sz w:val="24"/>
          <w:szCs w:val="24"/>
        </w:rPr>
        <w:t>00m³/h,制冷量7.2KW，制热量7.2KW，输入功率：0.92KW，外形尺寸：1400mm×1350mm×450mm</w:t>
      </w:r>
      <w:r>
        <w:rPr>
          <w:rFonts w:hint="eastAsia" w:ascii="仿宋" w:hAnsi="仿宋" w:eastAsia="仿宋" w:cs="仿宋"/>
          <w:kern w:val="0"/>
          <w:sz w:val="24"/>
          <w:szCs w:val="24"/>
        </w:rPr>
        <w:t>±</w:t>
      </w:r>
      <w:r>
        <w:rPr>
          <w:rFonts w:hint="eastAsia" w:ascii="仿宋" w:hAnsi="仿宋" w:eastAsia="仿宋" w:cs="仿宋"/>
          <w:color w:val="000000"/>
          <w:kern w:val="0"/>
          <w:sz w:val="24"/>
          <w:szCs w:val="24"/>
        </w:rPr>
        <w:t>2mm；</w:t>
      </w:r>
    </w:p>
    <w:p>
      <w:pPr>
        <w:widowControl w:val="0"/>
        <w:spacing w:after="12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9．</w:t>
      </w:r>
      <w:r>
        <w:rPr>
          <w:rFonts w:hint="eastAsia" w:ascii="仿宋" w:hAnsi="仿宋" w:eastAsia="仿宋" w:cs="仿宋"/>
          <w:color w:val="000000"/>
          <w:kern w:val="0"/>
          <w:sz w:val="24"/>
          <w:szCs w:val="24"/>
          <w:lang w:val="en-US" w:eastAsia="zh-CN" w:bidi="ar-SA"/>
        </w:rPr>
        <w:t>空气调节消毒</w:t>
      </w:r>
      <w:r>
        <w:rPr>
          <w:rFonts w:hint="eastAsia" w:ascii="仿宋" w:hAnsi="仿宋" w:eastAsia="仿宋" w:cs="仿宋"/>
          <w:kern w:val="2"/>
          <w:sz w:val="24"/>
          <w:szCs w:val="24"/>
          <w:lang w:val="en-US" w:eastAsia="zh-CN" w:bidi="ar-SA"/>
        </w:rPr>
        <w:t>机组接地电阻不大于0.1欧；</w:t>
      </w:r>
    </w:p>
    <w:p>
      <w:pPr>
        <w:rPr>
          <w:rFonts w:hint="eastAsia" w:ascii="仿宋" w:hAnsi="仿宋" w:eastAsia="仿宋" w:cs="仿宋"/>
          <w:kern w:val="2"/>
          <w:sz w:val="24"/>
          <w:szCs w:val="24"/>
        </w:rPr>
      </w:pPr>
      <w:r>
        <w:rPr>
          <w:rFonts w:hint="eastAsia" w:ascii="仿宋" w:hAnsi="仿宋" w:eastAsia="仿宋" w:cs="仿宋"/>
          <w:kern w:val="2"/>
          <w:sz w:val="24"/>
          <w:szCs w:val="24"/>
        </w:rPr>
        <w:t>10</w:t>
      </w:r>
      <w:r>
        <w:rPr>
          <w:rFonts w:hint="eastAsia" w:ascii="仿宋" w:hAnsi="仿宋" w:eastAsia="仿宋" w:cs="仿宋"/>
          <w:kern w:val="2"/>
          <w:sz w:val="24"/>
          <w:szCs w:val="24"/>
          <w:lang w:eastAsia="zh-CN"/>
        </w:rPr>
        <w:t>.</w:t>
      </w:r>
      <w:r>
        <w:rPr>
          <w:rFonts w:hint="eastAsia" w:ascii="仿宋" w:hAnsi="仿宋" w:eastAsia="仿宋" w:cs="仿宋"/>
          <w:color w:val="000000"/>
          <w:kern w:val="0"/>
          <w:sz w:val="24"/>
          <w:szCs w:val="24"/>
        </w:rPr>
        <w:t>空气调节消毒机组连续运行4H后的泄漏电流不大于2mA。</w:t>
      </w:r>
    </w:p>
    <w:p>
      <w:pPr>
        <w:tabs>
          <w:tab w:val="left" w:pos="900"/>
        </w:tabs>
        <w:snapToGrid w:val="0"/>
        <w:spacing w:line="360" w:lineRule="auto"/>
        <w:rPr>
          <w:rFonts w:hint="eastAsia" w:ascii="仿宋" w:hAnsi="仿宋" w:eastAsia="仿宋" w:cs="仿宋"/>
          <w:sz w:val="24"/>
        </w:rPr>
      </w:pPr>
    </w:p>
    <w:p>
      <w:pPr>
        <w:tabs>
          <w:tab w:val="left" w:pos="900"/>
        </w:tabs>
        <w:snapToGrid w:val="0"/>
        <w:spacing w:line="360" w:lineRule="auto"/>
        <w:rPr>
          <w:rFonts w:hint="eastAsia" w:ascii="仿宋" w:hAnsi="仿宋" w:eastAsia="仿宋" w:cs="仿宋"/>
          <w:sz w:val="24"/>
        </w:rPr>
      </w:pPr>
    </w:p>
    <w:p>
      <w:pPr>
        <w:tabs>
          <w:tab w:val="left" w:pos="900"/>
        </w:tabs>
        <w:snapToGrid w:val="0"/>
        <w:spacing w:line="360" w:lineRule="auto"/>
        <w:rPr>
          <w:rFonts w:hint="eastAsia" w:ascii="仿宋" w:hAnsi="仿宋" w:eastAsia="仿宋" w:cs="仿宋"/>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2"/>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06361C"/>
    <w:rsid w:val="008D0B77"/>
    <w:rsid w:val="06562220"/>
    <w:rsid w:val="086C7AD9"/>
    <w:rsid w:val="0C5F7591"/>
    <w:rsid w:val="0D3F3A0E"/>
    <w:rsid w:val="12AE3DA7"/>
    <w:rsid w:val="14AD5701"/>
    <w:rsid w:val="152A6D51"/>
    <w:rsid w:val="1A03321D"/>
    <w:rsid w:val="1BD47A17"/>
    <w:rsid w:val="1C13053F"/>
    <w:rsid w:val="213D7E0C"/>
    <w:rsid w:val="22E22A19"/>
    <w:rsid w:val="25323D6A"/>
    <w:rsid w:val="264A1001"/>
    <w:rsid w:val="264F486A"/>
    <w:rsid w:val="28283442"/>
    <w:rsid w:val="2ABB4B7B"/>
    <w:rsid w:val="2B4F0E68"/>
    <w:rsid w:val="2C4E3709"/>
    <w:rsid w:val="2CED55A1"/>
    <w:rsid w:val="30FF2EAD"/>
    <w:rsid w:val="34847DD4"/>
    <w:rsid w:val="348B4B83"/>
    <w:rsid w:val="375B3920"/>
    <w:rsid w:val="40053DAD"/>
    <w:rsid w:val="40A35A86"/>
    <w:rsid w:val="4182569C"/>
    <w:rsid w:val="4269060A"/>
    <w:rsid w:val="43F5750A"/>
    <w:rsid w:val="47BE41E4"/>
    <w:rsid w:val="49AB49A8"/>
    <w:rsid w:val="4A600544"/>
    <w:rsid w:val="4B2C01D9"/>
    <w:rsid w:val="4C464E12"/>
    <w:rsid w:val="4F691C86"/>
    <w:rsid w:val="50D61560"/>
    <w:rsid w:val="545400D8"/>
    <w:rsid w:val="57486EBA"/>
    <w:rsid w:val="5895585D"/>
    <w:rsid w:val="5C06361C"/>
    <w:rsid w:val="600763FF"/>
    <w:rsid w:val="60502CD0"/>
    <w:rsid w:val="6DB546EF"/>
    <w:rsid w:val="6DFF5CD6"/>
    <w:rsid w:val="70013006"/>
    <w:rsid w:val="71D82096"/>
    <w:rsid w:val="72523709"/>
    <w:rsid w:val="74C17D41"/>
    <w:rsid w:val="753F6E24"/>
    <w:rsid w:val="755D5EDE"/>
    <w:rsid w:val="75750A98"/>
    <w:rsid w:val="77D15D54"/>
    <w:rsid w:val="7BA442C0"/>
    <w:rsid w:val="7C596A1E"/>
    <w:rsid w:val="7ED75E8D"/>
    <w:rsid w:val="7ED93E46"/>
    <w:rsid w:val="7F0D0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2"/>
      <w:szCs w:val="32"/>
      <w:lang w:val="en-US" w:eastAsia="zh-CN" w:bidi="ar-SA"/>
    </w:rPr>
  </w:style>
  <w:style w:type="paragraph" w:styleId="4">
    <w:name w:val="heading 1"/>
    <w:basedOn w:val="1"/>
    <w:next w:val="1"/>
    <w:link w:val="13"/>
    <w:qFormat/>
    <w:uiPriority w:val="0"/>
    <w:pPr>
      <w:keepNext/>
      <w:keepLines/>
      <w:spacing w:before="340" w:beforeLines="0" w:beforeAutospacing="0" w:after="330" w:afterLines="0" w:afterAutospacing="0" w:line="240" w:lineRule="auto"/>
      <w:jc w:val="center"/>
      <w:outlineLvl w:val="0"/>
    </w:pPr>
    <w:rPr>
      <w:rFonts w:ascii="Times New Roman" w:hAnsi="Times New Roman" w:eastAsia="仿宋" w:cs="Times New Roman"/>
      <w:kern w:val="44"/>
      <w:sz w:val="28"/>
    </w:rPr>
  </w:style>
  <w:style w:type="paragraph" w:styleId="5">
    <w:name w:val="heading 2"/>
    <w:basedOn w:val="1"/>
    <w:next w:val="1"/>
    <w:link w:val="12"/>
    <w:semiHidden/>
    <w:unhideWhenUsed/>
    <w:qFormat/>
    <w:uiPriority w:val="0"/>
    <w:pPr>
      <w:keepNext/>
      <w:keepLines/>
      <w:spacing w:before="20" w:beforeLines="0" w:after="20" w:afterLines="0" w:line="240" w:lineRule="auto"/>
      <w:jc w:val="left"/>
      <w:outlineLvl w:val="1"/>
    </w:pPr>
    <w:rPr>
      <w:rFonts w:ascii="仿宋" w:hAnsi="仿宋" w:eastAsia="仿宋" w:cs="仿宋"/>
      <w:snapToGrid w:val="0"/>
      <w:kern w:val="0"/>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标题 5（有编号）（绿盟科技）"/>
    <w:basedOn w:val="1"/>
    <w:next w:val="3"/>
    <w:qFormat/>
    <w:uiPriority w:val="0"/>
    <w:pPr>
      <w:keepNext/>
      <w:keepLines/>
      <w:numPr>
        <w:ilvl w:val="4"/>
        <w:numId w:val="1"/>
      </w:numPr>
      <w:spacing w:before="280" w:after="156" w:line="377" w:lineRule="auto"/>
      <w:jc w:val="left"/>
      <w:outlineLvl w:val="4"/>
    </w:pPr>
    <w:rPr>
      <w:rFonts w:ascii="Arial" w:hAnsi="Arial" w:eastAsia="黑体" w:cs="Times New Roman"/>
      <w:b/>
      <w:kern w:val="0"/>
      <w:sz w:val="24"/>
      <w:szCs w:val="28"/>
    </w:rPr>
  </w:style>
  <w:style w:type="paragraph" w:customStyle="1" w:styleId="3">
    <w:name w:val="正文（绿盟科技）"/>
    <w:qFormat/>
    <w:uiPriority w:val="0"/>
    <w:pPr>
      <w:spacing w:line="300" w:lineRule="auto"/>
    </w:pPr>
    <w:rPr>
      <w:rFonts w:ascii="Arial" w:hAnsi="Arial" w:eastAsia="宋体" w:cs="黑体"/>
      <w:sz w:val="21"/>
      <w:szCs w:val="21"/>
      <w:lang w:val="en-US" w:eastAsia="zh-CN" w:bidi="ar-SA"/>
    </w:rPr>
  </w:style>
  <w:style w:type="paragraph" w:styleId="6">
    <w:name w:val="annotation text"/>
    <w:basedOn w:val="1"/>
    <w:qFormat/>
    <w:uiPriority w:val="0"/>
    <w:pPr>
      <w:jc w:val="left"/>
    </w:pPr>
  </w:style>
  <w:style w:type="paragraph" w:styleId="7">
    <w:name w:val="Body Text"/>
    <w:basedOn w:val="1"/>
    <w:next w:val="1"/>
    <w:qFormat/>
    <w:uiPriority w:val="0"/>
    <w:pPr>
      <w:spacing w:after="120"/>
    </w:pPr>
    <w:rPr>
      <w:rFonts w:ascii="Times New Roman"/>
      <w:color w:val="FF0000"/>
      <w:szCs w:val="20"/>
    </w:rPr>
  </w:style>
  <w:style w:type="paragraph" w:styleId="8">
    <w:name w:val="Normal (Web)"/>
    <w:basedOn w:val="1"/>
    <w:qFormat/>
    <w:uiPriority w:val="0"/>
    <w:pPr>
      <w:widowControl/>
      <w:spacing w:beforeAutospacing="1" w:afterAutospacing="1"/>
      <w:jc w:val="left"/>
    </w:pPr>
    <w:rPr>
      <w:rFonts w:ascii="楷体_GB2312" w:hAnsi="楷体_GB2312" w:eastAsia="楷体_GB2312"/>
      <w:kern w:val="0"/>
      <w:sz w:val="24"/>
    </w:rPr>
  </w:style>
  <w:style w:type="character" w:styleId="11">
    <w:name w:val="annotation reference"/>
    <w:qFormat/>
    <w:uiPriority w:val="0"/>
    <w:rPr>
      <w:sz w:val="21"/>
      <w:szCs w:val="21"/>
    </w:rPr>
  </w:style>
  <w:style w:type="character" w:customStyle="1" w:styleId="12">
    <w:name w:val="标题 2 Char"/>
    <w:link w:val="5"/>
    <w:qFormat/>
    <w:uiPriority w:val="0"/>
    <w:rPr>
      <w:rFonts w:ascii="仿宋" w:hAnsi="仿宋" w:eastAsia="仿宋" w:cs="仿宋"/>
      <w:snapToGrid w:val="0"/>
      <w:kern w:val="0"/>
      <w:sz w:val="28"/>
      <w:szCs w:val="28"/>
    </w:rPr>
  </w:style>
  <w:style w:type="character" w:customStyle="1" w:styleId="13">
    <w:name w:val="标题 1 Char"/>
    <w:link w:val="4"/>
    <w:qFormat/>
    <w:uiPriority w:val="0"/>
    <w:rPr>
      <w:rFonts w:ascii="Times New Roman" w:hAnsi="Times New Roman" w:eastAsia="仿宋" w:cs="Times New Roman"/>
      <w:kern w:val="44"/>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2021-12-12T07:14:00Z</dcterms:created>
  <dc:creator>小女子不好学</dc:creator>
  <cp:lastModifiedBy>三生万物</cp:lastModifiedBy>
  <dcterms:modified xsi:type="dcterms:W3CDTF">2021-12-16T02:52:47Z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ECC7D83CD8984DEE82D630BAFF4531AE</vt:lpwstr>
  </property>
</Properties>
</file>