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288" w:lineRule="auto"/>
        <w:jc w:val="left"/>
        <w:rPr>
          <w:rFonts w:ascii="Arial" w:hAnsi="Arial" w:cs="Arial"/>
          <w:bCs/>
        </w:rPr>
      </w:pPr>
      <w:r>
        <w:rPr>
          <w:rFonts w:ascii="Arial" w:hAnsi="Arial" w:cs="Arial"/>
          <w:b/>
        </w:rPr>
        <w:t>1.</w:t>
      </w:r>
      <w:r>
        <w:rPr>
          <w:rFonts w:ascii="Arial" w:hAnsi="Arial" w:cs="Arial"/>
          <w:b/>
          <w:bCs/>
        </w:rPr>
        <w:t>价格分</w:t>
      </w:r>
      <w:r>
        <w:rPr>
          <w:rFonts w:ascii="Arial" w:hAnsi="Arial" w:cs="Arial"/>
          <w:b/>
        </w:rPr>
        <w:t>…………………………………………………………………………………</w:t>
      </w:r>
      <w:r>
        <w:rPr>
          <w:rFonts w:hint="eastAsia" w:ascii="Arial" w:hAnsi="Arial" w:cs="Arial"/>
          <w:b/>
          <w:lang w:val="en-US" w:eastAsia="zh-CN"/>
        </w:rPr>
        <w:t>30</w:t>
      </w:r>
      <w:r>
        <w:rPr>
          <w:rFonts w:ascii="Arial" w:hAnsi="Arial" w:cs="Arial"/>
          <w:b/>
        </w:rPr>
        <w:t>分</w:t>
      </w:r>
    </w:p>
    <w:p>
      <w:pPr>
        <w:pStyle w:val="4"/>
        <w:spacing w:line="288" w:lineRule="auto"/>
        <w:ind w:firstLine="420"/>
        <w:jc w:val="left"/>
        <w:rPr>
          <w:rFonts w:ascii="Arial" w:hAnsi="Arial" w:cs="Arial"/>
        </w:rPr>
      </w:pPr>
      <w:r>
        <w:rPr>
          <w:rFonts w:ascii="Arial" w:hAnsi="Arial" w:cs="Arial"/>
        </w:rPr>
        <w:t>以满足磋商文件要求且最后报价最低的磋商报价为磋商基准价，其价格分为</w:t>
      </w:r>
      <w:r>
        <w:rPr>
          <w:rFonts w:hint="eastAsia" w:ascii="Arial" w:hAnsi="Arial" w:cs="Arial"/>
          <w:lang w:val="en-US" w:eastAsia="zh-CN"/>
        </w:rPr>
        <w:t>30</w:t>
      </w:r>
      <w:r>
        <w:rPr>
          <w:rFonts w:ascii="Arial" w:hAnsi="Arial" w:cs="Arial"/>
        </w:rPr>
        <w:t>分。其他供应商的价格分统一按照下列公式计算：最后磋商报价得分=（磋商基准价/最后磋商报价）×3</w:t>
      </w:r>
      <w:r>
        <w:rPr>
          <w:rFonts w:hint="eastAsia" w:ascii="Arial" w:hAnsi="Arial" w:cs="Arial"/>
        </w:rPr>
        <w:t>0</w:t>
      </w:r>
      <w:r>
        <w:rPr>
          <w:rFonts w:ascii="Arial" w:hAnsi="Arial" w:cs="Arial"/>
        </w:rPr>
        <w:t>。</w:t>
      </w:r>
    </w:p>
    <w:p>
      <w:pPr>
        <w:rPr>
          <w:rFonts w:hint="eastAsia" w:ascii="Arial" w:hAnsi="Arial" w:cs="Arial"/>
          <w:b/>
          <w:bCs/>
          <w:lang w:val="en-US" w:eastAsia="zh-CN"/>
        </w:rPr>
      </w:pPr>
      <w:r>
        <w:rPr>
          <w:rFonts w:hint="eastAsia" w:ascii="Arial" w:hAnsi="Arial" w:cs="Arial"/>
          <w:b/>
          <w:bCs/>
          <w:lang w:val="en-US" w:eastAsia="zh-CN"/>
        </w:rPr>
        <w:t>2.</w:t>
      </w:r>
      <w:r>
        <w:rPr>
          <w:rFonts w:hint="eastAsia" w:ascii="Arial" w:hAnsi="Arial" w:cs="Arial"/>
          <w:szCs w:val="21"/>
        </w:rPr>
        <w:t>项目实施方案</w:t>
      </w:r>
      <w:r>
        <w:rPr>
          <w:rFonts w:ascii="Arial" w:hAnsi="Arial" w:cs="Arial"/>
          <w:b/>
        </w:rPr>
        <w:t>…………………………………………………………………………</w:t>
      </w:r>
      <w:r>
        <w:rPr>
          <w:rFonts w:hint="eastAsia" w:ascii="Arial" w:hAnsi="Arial" w:cs="Arial"/>
          <w:szCs w:val="21"/>
          <w:lang w:val="en-US" w:eastAsia="zh-CN"/>
        </w:rPr>
        <w:t>15</w:t>
      </w:r>
      <w:r>
        <w:rPr>
          <w:rFonts w:ascii="Arial" w:hAnsi="Arial" w:cs="Arial"/>
          <w:szCs w:val="21"/>
        </w:rPr>
        <w:t>分</w:t>
      </w:r>
    </w:p>
    <w:p>
      <w:pPr>
        <w:pStyle w:val="4"/>
        <w:spacing w:line="288" w:lineRule="auto"/>
        <w:ind w:firstLine="420"/>
        <w:jc w:val="left"/>
        <w:rPr>
          <w:rFonts w:hint="default" w:ascii="Arial" w:hAnsi="Arial" w:cs="Arial"/>
          <w:b w:val="0"/>
          <w:bCs w:val="0"/>
          <w:lang w:val="en-US" w:eastAsia="zh-CN"/>
        </w:rPr>
      </w:pPr>
      <w:r>
        <w:rPr>
          <w:rFonts w:hint="eastAsia" w:ascii="Arial" w:hAnsi="Arial" w:cs="Arial"/>
          <w:b w:val="0"/>
          <w:bCs w:val="0"/>
          <w:lang w:val="en-US" w:eastAsia="zh-CN"/>
        </w:rPr>
        <w:t>由磋商小组在打分前根据磋商文件技术要求，根据响应文件项目实施方案综合考虑后独立打分。未提供得0分。</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一档（4分）：方案中提供的实施计划、组织验收及对项目建设重点、难点及风险分析等内容不完整或简单描述；</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二档（8分）：方案中提供的实施计划、组织验收及对项目建设重点、难点及风险分析等内容基本完整，基本满足项目需求；</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三档（12分）：方案中提供的实施计划、组织验收及对项目建设重点、难点及风险分析等内容描述详细，合理可行、针对性强，满足项目需求，对项目实施提出合理化的建议</w:t>
      </w:r>
    </w:p>
    <w:p>
      <w:pPr>
        <w:pStyle w:val="4"/>
        <w:spacing w:line="288" w:lineRule="auto"/>
        <w:ind w:firstLine="420"/>
        <w:jc w:val="left"/>
        <w:rPr>
          <w:rFonts w:hint="default" w:ascii="Arial" w:hAnsi="Arial" w:cs="Arial"/>
          <w:b w:val="0"/>
          <w:bCs w:val="0"/>
          <w:lang w:val="en-US" w:eastAsia="zh-CN"/>
        </w:rPr>
      </w:pPr>
      <w:r>
        <w:rPr>
          <w:rFonts w:hint="eastAsia" w:ascii="Arial" w:hAnsi="Arial" w:cs="Arial"/>
          <w:b w:val="0"/>
          <w:bCs w:val="0"/>
          <w:lang w:val="en-US" w:eastAsia="zh-CN"/>
        </w:rPr>
        <w:t>四档（15分）：方案中提供的实施计划、组织验收及对项目建设重点、难点及风险分析等内容描述详细，合理可行、针对性强，完全满足项目需求，对项目实施提出合理化的建议，正确理解采购人建设背景及目标，技术方案总体论述清晰合理。</w:t>
      </w:r>
    </w:p>
    <w:p>
      <w:pPr>
        <w:pStyle w:val="4"/>
        <w:spacing w:line="288" w:lineRule="auto"/>
        <w:jc w:val="left"/>
        <w:rPr>
          <w:rFonts w:hint="eastAsia" w:ascii="Arial" w:hAnsi="Arial" w:cs="Arial"/>
          <w:b/>
          <w:bCs/>
          <w:lang w:val="en-US" w:eastAsia="zh-CN"/>
        </w:rPr>
      </w:pPr>
      <w:r>
        <w:rPr>
          <w:rFonts w:hint="eastAsia" w:ascii="Arial" w:hAnsi="Arial" w:cs="Arial"/>
          <w:b/>
          <w:bCs/>
          <w:lang w:val="en-US" w:eastAsia="zh-CN"/>
        </w:rPr>
        <w:t>2.货物技术性能分…………………………………………………………………………15分</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由磋商小组在打分前根据磋商文件技术要求，根据响应货物的设备配置、设备性能等各方面综合考虑后独立打分。未提供得0分。</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一档（5分）：提供的货物技术性能描述较简单。</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二档（10分）：有详细的货物技术性能描述，设备配置、设备性能能满足采购需求。</w:t>
      </w:r>
    </w:p>
    <w:p>
      <w:pPr>
        <w:pStyle w:val="4"/>
        <w:spacing w:line="288" w:lineRule="auto"/>
        <w:ind w:firstLine="420"/>
        <w:jc w:val="left"/>
        <w:rPr>
          <w:rFonts w:hint="eastAsia" w:ascii="Arial" w:hAnsi="Arial" w:cs="Arial"/>
          <w:b w:val="0"/>
          <w:bCs w:val="0"/>
          <w:lang w:val="en-US" w:eastAsia="zh-CN"/>
        </w:rPr>
      </w:pPr>
      <w:r>
        <w:rPr>
          <w:rFonts w:hint="eastAsia" w:ascii="Arial" w:hAnsi="Arial" w:cs="Arial"/>
          <w:b w:val="0"/>
          <w:bCs w:val="0"/>
          <w:lang w:val="en-US" w:eastAsia="zh-CN"/>
        </w:rPr>
        <w:t>三档（15分）：设备配置、设备性能均能满足采购需求，描述清晰、详细、具有一定的针对性的。</w:t>
      </w:r>
    </w:p>
    <w:p>
      <w:pPr>
        <w:pStyle w:val="4"/>
        <w:tabs>
          <w:tab w:val="left" w:pos="8820"/>
        </w:tabs>
        <w:spacing w:line="288" w:lineRule="auto"/>
        <w:outlineLvl w:val="0"/>
        <w:rPr>
          <w:rFonts w:ascii="Arial" w:hAnsi="Arial" w:cs="Arial"/>
          <w:b/>
          <w:bCs/>
        </w:rPr>
      </w:pPr>
      <w:bookmarkStart w:id="0" w:name="_Toc8550"/>
      <w:bookmarkStart w:id="1" w:name="_Toc5334"/>
      <w:bookmarkStart w:id="2" w:name="_Toc12820"/>
      <w:bookmarkStart w:id="3" w:name="_Toc22675"/>
      <w:r>
        <w:rPr>
          <w:rFonts w:hint="eastAsia" w:ascii="Arial" w:hAnsi="Arial" w:cs="Arial"/>
          <w:b/>
          <w:bCs/>
          <w:lang w:val="en-US" w:eastAsia="zh-CN"/>
        </w:rPr>
        <w:t>3</w:t>
      </w:r>
      <w:r>
        <w:rPr>
          <w:rFonts w:ascii="Arial" w:hAnsi="Arial" w:cs="Arial"/>
          <w:b/>
          <w:bCs/>
        </w:rPr>
        <w:t>.安装调试方案……………………………………………………………………………</w:t>
      </w:r>
      <w:r>
        <w:rPr>
          <w:rFonts w:hint="eastAsia" w:ascii="Arial" w:hAnsi="Arial" w:cs="Arial"/>
          <w:b/>
          <w:bCs/>
          <w:lang w:val="en-US" w:eastAsia="zh-CN"/>
        </w:rPr>
        <w:t>15</w:t>
      </w:r>
      <w:r>
        <w:rPr>
          <w:rFonts w:ascii="Arial" w:hAnsi="Arial" w:cs="Arial"/>
          <w:b/>
          <w:bCs/>
        </w:rPr>
        <w:t>分</w:t>
      </w:r>
      <w:bookmarkEnd w:id="0"/>
      <w:bookmarkEnd w:id="1"/>
      <w:bookmarkEnd w:id="2"/>
      <w:bookmarkEnd w:id="3"/>
    </w:p>
    <w:p>
      <w:pPr>
        <w:pStyle w:val="4"/>
        <w:spacing w:line="288" w:lineRule="auto"/>
        <w:ind w:firstLine="420"/>
        <w:jc w:val="left"/>
        <w:rPr>
          <w:rStyle w:val="7"/>
          <w:rFonts w:ascii="Arial" w:hAnsi="Arial" w:cs="Arial"/>
        </w:rPr>
      </w:pPr>
      <w:bookmarkStart w:id="4" w:name="_Toc10258"/>
      <w:bookmarkStart w:id="5" w:name="_Toc14068"/>
      <w:bookmarkStart w:id="6" w:name="_Toc11266"/>
      <w:bookmarkStart w:id="7" w:name="_Toc4397"/>
      <w:r>
        <w:rPr>
          <w:rStyle w:val="7"/>
          <w:rFonts w:ascii="Arial" w:hAnsi="Arial" w:cs="Arial"/>
        </w:rPr>
        <w:t>由磋商小组在打分前根据磋商文件技术要求，针对本项目有配送、安装、调试、验收等能力计划、措施及相关服务承诺</w:t>
      </w:r>
      <w:r>
        <w:rPr>
          <w:rStyle w:val="7"/>
          <w:rFonts w:hint="eastAsia" w:ascii="Arial" w:hAnsi="Arial" w:cs="Arial"/>
        </w:rPr>
        <w:t>综合考虑独立打分</w:t>
      </w:r>
      <w:r>
        <w:rPr>
          <w:rStyle w:val="7"/>
          <w:rFonts w:ascii="Arial" w:hAnsi="Arial" w:cs="Arial"/>
        </w:rPr>
        <w:t>。</w:t>
      </w:r>
      <w:bookmarkEnd w:id="4"/>
      <w:bookmarkEnd w:id="5"/>
      <w:bookmarkEnd w:id="6"/>
      <w:bookmarkEnd w:id="7"/>
      <w:r>
        <w:rPr>
          <w:rFonts w:hint="eastAsia" w:ascii="Arial" w:hAnsi="Arial" w:cs="Arial"/>
          <w:b w:val="0"/>
          <w:bCs w:val="0"/>
          <w:lang w:val="en-US" w:eastAsia="zh-CN"/>
        </w:rPr>
        <w:t>未提供得0分。</w:t>
      </w:r>
    </w:p>
    <w:p>
      <w:pPr>
        <w:pStyle w:val="4"/>
        <w:tabs>
          <w:tab w:val="left" w:pos="8820"/>
        </w:tabs>
        <w:spacing w:line="288" w:lineRule="auto"/>
        <w:ind w:firstLine="420" w:firstLineChars="200"/>
        <w:outlineLvl w:val="0"/>
        <w:rPr>
          <w:rStyle w:val="7"/>
          <w:rFonts w:ascii="Arial" w:hAnsi="Arial" w:cs="Arial"/>
        </w:rPr>
      </w:pPr>
      <w:bookmarkStart w:id="8" w:name="_Toc13393"/>
      <w:bookmarkStart w:id="9" w:name="_Toc5002"/>
      <w:bookmarkStart w:id="10" w:name="_Toc19495"/>
      <w:bookmarkStart w:id="11" w:name="_Toc3923"/>
      <w:r>
        <w:rPr>
          <w:rStyle w:val="7"/>
          <w:rFonts w:ascii="Arial" w:hAnsi="Arial" w:cs="Arial"/>
        </w:rPr>
        <w:t>一档（</w:t>
      </w:r>
      <w:r>
        <w:rPr>
          <w:rStyle w:val="7"/>
          <w:rFonts w:hint="eastAsia" w:ascii="Arial" w:hAnsi="Arial" w:cs="Arial"/>
          <w:lang w:val="en-US" w:eastAsia="zh-CN"/>
        </w:rPr>
        <w:t>5</w:t>
      </w:r>
      <w:r>
        <w:rPr>
          <w:rStyle w:val="7"/>
          <w:rFonts w:ascii="Arial" w:hAnsi="Arial" w:cs="Arial"/>
        </w:rPr>
        <w:t>分）：方案基本可行，较简单，提及的内容较少，只涉及到配送、安装内容。</w:t>
      </w:r>
      <w:bookmarkEnd w:id="8"/>
      <w:bookmarkEnd w:id="9"/>
      <w:bookmarkEnd w:id="10"/>
      <w:bookmarkEnd w:id="11"/>
    </w:p>
    <w:p>
      <w:pPr>
        <w:pStyle w:val="4"/>
        <w:tabs>
          <w:tab w:val="left" w:pos="8820"/>
        </w:tabs>
        <w:spacing w:line="288" w:lineRule="auto"/>
        <w:ind w:firstLine="420" w:firstLineChars="200"/>
        <w:outlineLvl w:val="0"/>
        <w:rPr>
          <w:rStyle w:val="7"/>
          <w:rFonts w:ascii="Arial" w:hAnsi="Arial" w:cs="Arial"/>
        </w:rPr>
      </w:pPr>
      <w:bookmarkStart w:id="12" w:name="_Toc19208"/>
      <w:bookmarkStart w:id="13" w:name="_Toc14494"/>
      <w:bookmarkStart w:id="14" w:name="_Toc25236"/>
      <w:bookmarkStart w:id="15" w:name="_Toc25465"/>
      <w:r>
        <w:rPr>
          <w:rStyle w:val="7"/>
          <w:rFonts w:ascii="Arial" w:hAnsi="Arial" w:cs="Arial"/>
        </w:rPr>
        <w:t>二档（</w:t>
      </w:r>
      <w:r>
        <w:rPr>
          <w:rStyle w:val="7"/>
          <w:rFonts w:hint="eastAsia" w:ascii="Arial" w:hAnsi="Arial" w:cs="Arial"/>
          <w:lang w:val="en-US" w:eastAsia="zh-CN"/>
        </w:rPr>
        <w:t>10</w:t>
      </w:r>
      <w:r>
        <w:rPr>
          <w:rStyle w:val="7"/>
          <w:rFonts w:ascii="Arial" w:hAnsi="Arial" w:cs="Arial"/>
        </w:rPr>
        <w:t>分）：方案完全满足</w:t>
      </w:r>
      <w:r>
        <w:rPr>
          <w:rStyle w:val="7"/>
          <w:rFonts w:hint="eastAsia" w:ascii="Arial" w:hAnsi="Arial" w:cs="Arial"/>
        </w:rPr>
        <w:t>采购要求</w:t>
      </w:r>
      <w:r>
        <w:rPr>
          <w:rStyle w:val="7"/>
          <w:rFonts w:ascii="Arial" w:hAnsi="Arial" w:cs="Arial"/>
        </w:rPr>
        <w:t>，表达清晰完整，提及了以上大部分内容，并有针对措施。</w:t>
      </w:r>
      <w:bookmarkEnd w:id="12"/>
      <w:bookmarkEnd w:id="13"/>
      <w:bookmarkEnd w:id="14"/>
      <w:bookmarkEnd w:id="15"/>
    </w:p>
    <w:p>
      <w:pPr>
        <w:pStyle w:val="4"/>
        <w:tabs>
          <w:tab w:val="left" w:pos="8820"/>
        </w:tabs>
        <w:spacing w:line="288" w:lineRule="auto"/>
        <w:ind w:firstLine="420" w:firstLineChars="200"/>
        <w:jc w:val="left"/>
        <w:outlineLvl w:val="0"/>
        <w:rPr>
          <w:rStyle w:val="7"/>
          <w:rFonts w:ascii="Arial" w:hAnsi="Arial" w:cs="Arial"/>
        </w:rPr>
      </w:pPr>
      <w:bookmarkStart w:id="16" w:name="_Toc32761"/>
      <w:bookmarkStart w:id="17" w:name="_Toc11116"/>
      <w:bookmarkStart w:id="18" w:name="_Toc20275"/>
      <w:bookmarkStart w:id="19" w:name="_Toc5061"/>
      <w:r>
        <w:rPr>
          <w:rStyle w:val="7"/>
          <w:rFonts w:ascii="Arial" w:hAnsi="Arial" w:cs="Arial"/>
        </w:rPr>
        <w:t>三档（</w:t>
      </w:r>
      <w:r>
        <w:rPr>
          <w:rStyle w:val="7"/>
          <w:rFonts w:hint="eastAsia" w:ascii="Arial" w:hAnsi="Arial" w:cs="Arial"/>
          <w:lang w:val="en-US" w:eastAsia="zh-CN"/>
        </w:rPr>
        <w:t>15</w:t>
      </w:r>
      <w:r>
        <w:rPr>
          <w:rStyle w:val="7"/>
          <w:rFonts w:ascii="Arial" w:hAnsi="Arial" w:cs="Arial"/>
        </w:rPr>
        <w:t>分）：方案完全满足</w:t>
      </w:r>
      <w:r>
        <w:rPr>
          <w:rStyle w:val="7"/>
          <w:rFonts w:hint="eastAsia" w:ascii="Arial" w:hAnsi="Arial" w:cs="Arial"/>
        </w:rPr>
        <w:t>采购要求</w:t>
      </w:r>
      <w:r>
        <w:rPr>
          <w:rStyle w:val="7"/>
          <w:rFonts w:ascii="Arial" w:hAnsi="Arial" w:cs="Arial"/>
        </w:rPr>
        <w:t>，表达清晰完整、合理、有效，有针对性，基本涵盖所有内容。</w:t>
      </w:r>
      <w:bookmarkEnd w:id="16"/>
      <w:bookmarkEnd w:id="17"/>
      <w:bookmarkEnd w:id="18"/>
      <w:bookmarkEnd w:id="19"/>
    </w:p>
    <w:p>
      <w:pPr>
        <w:pStyle w:val="4"/>
        <w:spacing w:line="288" w:lineRule="auto"/>
        <w:outlineLvl w:val="0"/>
        <w:rPr>
          <w:rFonts w:ascii="Arial" w:hAnsi="Arial" w:cs="Arial"/>
        </w:rPr>
      </w:pPr>
      <w:bookmarkStart w:id="20" w:name="_Toc32567"/>
      <w:bookmarkStart w:id="21" w:name="_Toc26963"/>
      <w:bookmarkStart w:id="22" w:name="_Toc6051"/>
      <w:bookmarkStart w:id="23" w:name="_Toc22501"/>
      <w:bookmarkStart w:id="24" w:name="_Toc21409"/>
      <w:r>
        <w:rPr>
          <w:rFonts w:hint="eastAsia" w:ascii="Arial" w:hAnsi="Arial" w:cs="Arial"/>
          <w:b/>
          <w:bCs/>
          <w:lang w:val="en-US" w:eastAsia="zh-CN"/>
        </w:rPr>
        <w:t>4</w:t>
      </w:r>
      <w:r>
        <w:rPr>
          <w:rFonts w:ascii="Arial" w:hAnsi="Arial" w:cs="Arial"/>
          <w:b/>
          <w:bCs/>
        </w:rPr>
        <w:t>.售后服务分……………………………………………………………………………</w:t>
      </w:r>
      <w:r>
        <w:rPr>
          <w:rFonts w:hint="eastAsia" w:ascii="Arial" w:hAnsi="Arial" w:cs="Arial"/>
          <w:b/>
          <w:bCs/>
        </w:rPr>
        <w:t>1</w:t>
      </w:r>
      <w:r>
        <w:rPr>
          <w:rFonts w:hint="eastAsia" w:ascii="Arial" w:hAnsi="Arial" w:cs="Arial"/>
          <w:b/>
          <w:bCs/>
          <w:lang w:val="en-US" w:eastAsia="zh-CN"/>
        </w:rPr>
        <w:t>6</w:t>
      </w:r>
      <w:r>
        <w:rPr>
          <w:rFonts w:ascii="Arial" w:hAnsi="Arial" w:cs="Arial"/>
          <w:b/>
          <w:bCs/>
        </w:rPr>
        <w:t>分</w:t>
      </w:r>
      <w:bookmarkEnd w:id="20"/>
      <w:bookmarkEnd w:id="21"/>
      <w:bookmarkEnd w:id="22"/>
      <w:bookmarkEnd w:id="23"/>
      <w:bookmarkEnd w:id="24"/>
    </w:p>
    <w:p>
      <w:pPr>
        <w:pStyle w:val="4"/>
        <w:spacing w:line="288" w:lineRule="auto"/>
        <w:ind w:firstLine="420"/>
        <w:jc w:val="left"/>
        <w:rPr>
          <w:rFonts w:hint="eastAsia" w:ascii="Arial" w:hAnsi="Arial" w:eastAsia="宋体" w:cs="Arial"/>
          <w:lang w:eastAsia="zh-CN"/>
        </w:rPr>
      </w:pPr>
      <w:bookmarkStart w:id="25" w:name="_Toc31345"/>
      <w:bookmarkStart w:id="26" w:name="_Toc29181"/>
      <w:bookmarkStart w:id="27" w:name="_Toc8120"/>
      <w:r>
        <w:rPr>
          <w:rFonts w:ascii="Arial" w:hAnsi="Arial" w:cs="Arial"/>
          <w:bCs/>
        </w:rPr>
        <w:t>（1）</w:t>
      </w:r>
      <w:bookmarkEnd w:id="25"/>
      <w:bookmarkEnd w:id="26"/>
      <w:bookmarkEnd w:id="27"/>
      <w:r>
        <w:rPr>
          <w:rFonts w:ascii="Arial" w:hAnsi="Arial" w:cs="Arial"/>
        </w:rPr>
        <w:t>售后服务方案分，满分</w:t>
      </w:r>
      <w:r>
        <w:rPr>
          <w:rFonts w:hint="eastAsia" w:ascii="Arial" w:hAnsi="Arial" w:cs="Arial"/>
          <w:lang w:val="en-US" w:eastAsia="zh-CN"/>
        </w:rPr>
        <w:t>15</w:t>
      </w:r>
      <w:r>
        <w:rPr>
          <w:rFonts w:ascii="Arial" w:hAnsi="Arial" w:cs="Arial"/>
        </w:rPr>
        <w:t>分</w:t>
      </w:r>
      <w:r>
        <w:rPr>
          <w:rFonts w:hint="eastAsia" w:ascii="Arial" w:hAnsi="Arial" w:cs="Arial"/>
          <w:lang w:eastAsia="zh-CN"/>
        </w:rPr>
        <w:t>，</w:t>
      </w:r>
      <w:r>
        <w:rPr>
          <w:rFonts w:hint="eastAsia" w:ascii="Arial" w:hAnsi="Arial" w:cs="Arial"/>
          <w:b w:val="0"/>
          <w:bCs w:val="0"/>
          <w:lang w:val="en-US" w:eastAsia="zh-CN"/>
        </w:rPr>
        <w:t>未提供得0分。</w:t>
      </w:r>
    </w:p>
    <w:p>
      <w:pPr>
        <w:pStyle w:val="4"/>
        <w:tabs>
          <w:tab w:val="left" w:pos="540"/>
        </w:tabs>
        <w:spacing w:line="288" w:lineRule="auto"/>
        <w:ind w:left="420" w:leftChars="200"/>
        <w:rPr>
          <w:rFonts w:ascii="Arial" w:hAnsi="Arial" w:cs="Arial"/>
        </w:rPr>
      </w:pPr>
      <w:r>
        <w:rPr>
          <w:rFonts w:ascii="Arial" w:hAnsi="Arial" w:cs="Arial"/>
        </w:rPr>
        <w:t>一档（</w:t>
      </w:r>
      <w:r>
        <w:rPr>
          <w:rFonts w:hint="eastAsia" w:ascii="Arial" w:hAnsi="Arial" w:cs="Arial"/>
          <w:lang w:val="en-US" w:eastAsia="zh-CN"/>
        </w:rPr>
        <w:t>5</w:t>
      </w:r>
      <w:r>
        <w:rPr>
          <w:rFonts w:ascii="Arial" w:hAnsi="Arial" w:cs="Arial"/>
        </w:rPr>
        <w:t>分）：未提出详细的售后服务承诺。</w:t>
      </w:r>
    </w:p>
    <w:p>
      <w:pPr>
        <w:pStyle w:val="4"/>
        <w:tabs>
          <w:tab w:val="left" w:pos="540"/>
        </w:tabs>
        <w:spacing w:line="288" w:lineRule="auto"/>
        <w:ind w:left="420" w:leftChars="200"/>
        <w:rPr>
          <w:rFonts w:hint="eastAsia" w:ascii="Arial" w:hAnsi="Arial" w:cs="Arial"/>
        </w:rPr>
      </w:pPr>
      <w:r>
        <w:rPr>
          <w:rFonts w:ascii="Arial" w:hAnsi="Arial" w:cs="Arial"/>
        </w:rPr>
        <w:t>二档（</w:t>
      </w:r>
      <w:r>
        <w:rPr>
          <w:rFonts w:hint="eastAsia" w:ascii="Arial" w:hAnsi="Arial" w:cs="Arial"/>
          <w:lang w:val="en-US" w:eastAsia="zh-CN"/>
        </w:rPr>
        <w:t>10</w:t>
      </w:r>
      <w:r>
        <w:rPr>
          <w:rFonts w:ascii="Arial" w:hAnsi="Arial" w:cs="Arial"/>
        </w:rPr>
        <w:t>分）：</w:t>
      </w:r>
      <w:r>
        <w:rPr>
          <w:rFonts w:hint="eastAsia" w:ascii="Arial" w:hAnsi="Arial" w:cs="Arial"/>
        </w:rPr>
        <w:t>售后服务方案表述清晰、完整，措施有效可行，故障响应时间、到达故</w:t>
      </w:r>
    </w:p>
    <w:p>
      <w:pPr>
        <w:pStyle w:val="4"/>
        <w:tabs>
          <w:tab w:val="left" w:pos="540"/>
        </w:tabs>
        <w:spacing w:line="288" w:lineRule="auto"/>
        <w:rPr>
          <w:rFonts w:ascii="Arial" w:hAnsi="Arial" w:cs="Arial"/>
        </w:rPr>
      </w:pPr>
      <w:r>
        <w:rPr>
          <w:rFonts w:hint="eastAsia" w:ascii="Arial" w:hAnsi="Arial" w:cs="Arial"/>
        </w:rPr>
        <w:t>障现场时间安排合理，故障维护方案、免费技术培训等内容较合理、基本可行。</w:t>
      </w:r>
    </w:p>
    <w:p>
      <w:pPr>
        <w:pStyle w:val="4"/>
        <w:tabs>
          <w:tab w:val="left" w:pos="540"/>
        </w:tabs>
        <w:spacing w:line="288" w:lineRule="auto"/>
        <w:ind w:firstLine="420" w:firstLineChars="200"/>
        <w:rPr>
          <w:rFonts w:ascii="Arial" w:hAnsi="Arial" w:cs="Arial"/>
        </w:rPr>
      </w:pPr>
      <w:r>
        <w:rPr>
          <w:rFonts w:ascii="Arial" w:hAnsi="Arial" w:cs="Arial"/>
        </w:rPr>
        <w:t>三档（</w:t>
      </w:r>
      <w:r>
        <w:rPr>
          <w:rFonts w:hint="eastAsia" w:ascii="Arial" w:hAnsi="Arial" w:cs="Arial"/>
          <w:lang w:val="en-US" w:eastAsia="zh-CN"/>
        </w:rPr>
        <w:t>15</w:t>
      </w:r>
      <w:r>
        <w:rPr>
          <w:rFonts w:ascii="Arial" w:hAnsi="Arial" w:cs="Arial"/>
        </w:rPr>
        <w:t>分）：</w:t>
      </w:r>
      <w:r>
        <w:rPr>
          <w:rFonts w:hint="eastAsia" w:ascii="Arial" w:hAnsi="Arial" w:cs="Arial"/>
        </w:rPr>
        <w:t>售后服务方案表述清晰、完整，措施有效可行，故障响应时间、到达故障现场时间安排合理，故障维护方案、免费技术培训等方案合理、可行，提供了故障处理流程、维护保障响应措施（含硬件设备备件服务）和应急响应服务方案、升级方案、培训方案，承诺本项目合同履行期间项目实施地市设有办事机构及常驻技术人员。</w:t>
      </w:r>
    </w:p>
    <w:p>
      <w:pPr>
        <w:pStyle w:val="4"/>
        <w:numPr>
          <w:numId w:val="0"/>
        </w:numPr>
        <w:tabs>
          <w:tab w:val="left" w:pos="540"/>
        </w:tabs>
        <w:spacing w:line="288" w:lineRule="auto"/>
        <w:ind w:firstLine="420" w:firstLineChars="200"/>
        <w:rPr>
          <w:rFonts w:ascii="Arial" w:hAnsi="Arial" w:cs="Arial"/>
        </w:rPr>
      </w:pPr>
      <w:r>
        <w:rPr>
          <w:rFonts w:hint="eastAsia" w:ascii="Arial" w:hAnsi="Arial" w:cs="Arial"/>
          <w:lang w:eastAsia="zh-CN"/>
        </w:rPr>
        <w:t>（</w:t>
      </w:r>
      <w:r>
        <w:rPr>
          <w:rFonts w:hint="eastAsia" w:ascii="Arial" w:hAnsi="Arial" w:cs="Arial"/>
          <w:lang w:val="en-US" w:eastAsia="zh-CN"/>
        </w:rPr>
        <w:t>2</w:t>
      </w:r>
      <w:r>
        <w:rPr>
          <w:rFonts w:hint="eastAsia" w:ascii="Arial" w:hAnsi="Arial" w:cs="Arial"/>
          <w:lang w:eastAsia="zh-CN"/>
        </w:rPr>
        <w:t>）</w:t>
      </w:r>
      <w:r>
        <w:rPr>
          <w:rFonts w:ascii="Arial" w:hAnsi="Arial" w:cs="Arial"/>
        </w:rPr>
        <w:t>售后服务机构设置：供应商注册地在桂林或在桂林本地有售后服务机构或在桂林本地有授权服务机构或供应商承诺</w:t>
      </w:r>
      <w:r>
        <w:rPr>
          <w:rFonts w:hint="eastAsia" w:ascii="Arial" w:hAnsi="Arial" w:cs="Arial"/>
        </w:rPr>
        <w:t>成交</w:t>
      </w:r>
      <w:r>
        <w:rPr>
          <w:rFonts w:ascii="Arial" w:hAnsi="Arial" w:cs="Arial"/>
        </w:rPr>
        <w:t>后在桂林本地设立售后服务机构的可得</w:t>
      </w:r>
      <w:r>
        <w:rPr>
          <w:rFonts w:hint="eastAsia" w:ascii="Arial" w:hAnsi="Arial" w:cs="Arial"/>
          <w:lang w:val="en-US" w:eastAsia="zh-CN"/>
        </w:rPr>
        <w:t>1</w:t>
      </w:r>
      <w:r>
        <w:rPr>
          <w:rFonts w:ascii="Arial" w:hAnsi="Arial" w:cs="Arial"/>
        </w:rPr>
        <w:t>分。满分</w:t>
      </w:r>
      <w:r>
        <w:rPr>
          <w:rFonts w:hint="eastAsia" w:ascii="Arial" w:hAnsi="Arial" w:cs="Arial"/>
          <w:lang w:val="en-US" w:eastAsia="zh-CN"/>
        </w:rPr>
        <w:t>1</w:t>
      </w:r>
      <w:r>
        <w:rPr>
          <w:rFonts w:ascii="Arial" w:hAnsi="Arial" w:cs="Arial"/>
        </w:rPr>
        <w:t>分。</w:t>
      </w:r>
      <w:bookmarkStart w:id="28" w:name="_GoBack"/>
      <w:bookmarkEnd w:id="28"/>
    </w:p>
    <w:p>
      <w:pPr>
        <w:pStyle w:val="4"/>
        <w:tabs>
          <w:tab w:val="left" w:pos="540"/>
        </w:tabs>
        <w:spacing w:line="288" w:lineRule="auto"/>
        <w:rPr>
          <w:rFonts w:ascii="Arial" w:hAnsi="Arial" w:cs="Arial"/>
          <w:b/>
          <w:bCs/>
        </w:rPr>
      </w:pPr>
      <w:r>
        <w:rPr>
          <w:rFonts w:hint="eastAsia" w:ascii="Arial" w:hAnsi="Arial" w:cs="Arial"/>
          <w:b/>
          <w:bCs/>
          <w:lang w:val="en-US" w:eastAsia="zh-CN"/>
        </w:rPr>
        <w:t>5</w:t>
      </w:r>
      <w:r>
        <w:rPr>
          <w:rFonts w:hint="eastAsia" w:ascii="Arial" w:hAnsi="Arial" w:cs="Arial"/>
          <w:b/>
          <w:bCs/>
        </w:rPr>
        <w:t>.</w:t>
      </w:r>
      <w:r>
        <w:rPr>
          <w:rFonts w:hint="eastAsia" w:ascii="Arial" w:hAnsi="Arial" w:cs="Arial"/>
          <w:b/>
          <w:bCs/>
          <w:lang w:val="en-US" w:eastAsia="zh-CN"/>
        </w:rPr>
        <w:t>信誉</w:t>
      </w:r>
      <w:r>
        <w:rPr>
          <w:rFonts w:hint="eastAsia" w:ascii="Arial" w:hAnsi="Arial" w:cs="Arial"/>
          <w:b/>
          <w:bCs/>
        </w:rPr>
        <w:t>业绩分</w:t>
      </w:r>
      <w:r>
        <w:rPr>
          <w:rFonts w:ascii="Arial" w:hAnsi="Arial" w:cs="Arial"/>
          <w:b/>
          <w:bCs/>
        </w:rPr>
        <w:t>…………………………………………………………………………………</w:t>
      </w:r>
      <w:r>
        <w:rPr>
          <w:rFonts w:hint="eastAsia" w:ascii="Arial" w:hAnsi="Arial" w:cs="Arial"/>
          <w:b/>
          <w:bCs/>
          <w:lang w:val="en-US" w:eastAsia="zh-CN"/>
        </w:rPr>
        <w:t>9</w:t>
      </w:r>
      <w:r>
        <w:rPr>
          <w:rFonts w:hint="eastAsia" w:ascii="Arial" w:hAnsi="Arial" w:cs="Arial"/>
          <w:b/>
          <w:bCs/>
        </w:rPr>
        <w:t>分</w:t>
      </w:r>
    </w:p>
    <w:p>
      <w:pPr>
        <w:pStyle w:val="4"/>
        <w:tabs>
          <w:tab w:val="left" w:pos="540"/>
        </w:tabs>
        <w:spacing w:line="288" w:lineRule="auto"/>
        <w:ind w:firstLine="420" w:firstLineChars="200"/>
        <w:rPr>
          <w:rFonts w:ascii="Arial" w:hAnsi="Arial" w:cs="Arial"/>
        </w:rPr>
      </w:pPr>
      <w:r>
        <w:rPr>
          <w:rFonts w:hint="eastAsia" w:ascii="Arial" w:hAnsi="Arial" w:cs="Arial"/>
          <w:lang w:eastAsia="zh-CN"/>
        </w:rPr>
        <w:t>（</w:t>
      </w:r>
      <w:r>
        <w:rPr>
          <w:rFonts w:hint="eastAsia" w:ascii="Arial" w:hAnsi="Arial" w:cs="Arial"/>
          <w:lang w:val="en-US" w:eastAsia="zh-CN"/>
        </w:rPr>
        <w:t>1</w:t>
      </w:r>
      <w:r>
        <w:rPr>
          <w:rFonts w:hint="eastAsia" w:ascii="Arial" w:hAnsi="Arial" w:cs="Arial"/>
          <w:lang w:eastAsia="zh-CN"/>
        </w:rPr>
        <w:t>）</w:t>
      </w:r>
      <w:r>
        <w:rPr>
          <w:rFonts w:ascii="Arial" w:hAnsi="Arial" w:cs="Arial"/>
        </w:rPr>
        <w:t>供应商近3年完成过类似项目业绩（提供中标/成交通知书或合同（协议书）复印件，加盖供应商单位公章，否则不得分）每项得</w:t>
      </w:r>
      <w:r>
        <w:rPr>
          <w:rFonts w:hint="eastAsia" w:ascii="Arial" w:hAnsi="Arial" w:cs="Arial"/>
          <w:lang w:val="en-US" w:eastAsia="zh-CN"/>
        </w:rPr>
        <w:t>3</w:t>
      </w:r>
      <w:r>
        <w:rPr>
          <w:rFonts w:ascii="Arial" w:hAnsi="Arial" w:cs="Arial"/>
        </w:rPr>
        <w:t>分，满分</w:t>
      </w:r>
      <w:r>
        <w:rPr>
          <w:rFonts w:hint="eastAsia" w:ascii="Arial" w:hAnsi="Arial" w:cs="Arial"/>
          <w:lang w:val="en-US" w:eastAsia="zh-CN"/>
        </w:rPr>
        <w:t>9</w:t>
      </w:r>
      <w:r>
        <w:rPr>
          <w:rFonts w:ascii="Arial" w:hAnsi="Arial" w:cs="Arial"/>
        </w:rPr>
        <w:t>分。</w:t>
      </w:r>
    </w:p>
    <w:p>
      <w:pPr>
        <w:pStyle w:val="4"/>
        <w:tabs>
          <w:tab w:val="left" w:pos="540"/>
        </w:tabs>
        <w:spacing w:line="288" w:lineRule="auto"/>
        <w:ind w:firstLine="420" w:firstLineChars="200"/>
        <w:rPr>
          <w:rFonts w:hint="eastAsia" w:ascii="Arial" w:hAnsi="Arial" w:eastAsia="宋体" w:cs="Arial"/>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F8A4E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3">
    <w:name w:val="toa heading"/>
    <w:basedOn w:val="1"/>
    <w:next w:val="1"/>
    <w:qFormat/>
    <w:uiPriority w:val="99"/>
    <w:pPr>
      <w:spacing w:before="120"/>
    </w:pPr>
    <w:rPr>
      <w:rFonts w:ascii="Cambria" w:hAnsi="Cambria" w:cs="宋体"/>
      <w:sz w:val="24"/>
    </w:rPr>
  </w:style>
  <w:style w:type="paragraph" w:styleId="4">
    <w:name w:val="Plain Text"/>
    <w:basedOn w:val="1"/>
    <w:qFormat/>
    <w:uiPriority w:val="0"/>
    <w:rPr>
      <w:rFonts w:ascii="宋体" w:hAnsi="Courier New" w:cs="Courier New"/>
      <w:szCs w:val="21"/>
    </w:rPr>
  </w:style>
  <w:style w:type="character" w:styleId="7">
    <w:name w:val="annotation reference"/>
    <w:qFormat/>
    <w:uiPriority w:val="0"/>
    <w:rPr>
      <w:rFonts w:ascii="Times New Roman" w:hAnsi="Times New Roman" w:eastAsia="宋体" w:cs="Times New Roman"/>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2021-12-14T12:26:52Z</dcterms:created>
  <dc:creator>Administrator</dc:creator>
  <cp:lastModifiedBy>NTKO</cp:lastModifiedBy>
  <dcterms:modified xsi:type="dcterms:W3CDTF">2021-12-14T12:49:46Z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