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bCs/>
          <w:color w:val="000000"/>
          <w:kern w:val="36"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设备名称：全飞秒屈光治疗系统（屈光手术中心设备）</w:t>
      </w: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设备编号：NYZBB-SBK-20220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43</w:t>
      </w:r>
    </w:p>
    <w:p>
      <w:pPr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</w:rPr>
        <w:t>量：1套</w:t>
      </w:r>
    </w:p>
    <w:p>
      <w:pPr>
        <w:pStyle w:val="3"/>
        <w:snapToGrid w:val="0"/>
        <w:spacing w:before="50"/>
        <w:textAlignment w:val="baseline"/>
      </w:pPr>
      <w:r>
        <w:rPr>
          <w:rFonts w:hint="eastAsia"/>
        </w:rPr>
        <w:t>性能配置要求</w:t>
      </w:r>
    </w:p>
    <w:p>
      <w:pPr>
        <w:pStyle w:val="2"/>
        <w:rPr>
          <w:sz w:val="24"/>
          <w:szCs w:val="28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（一）全飞秒激光角膜屈光治疗仪</w:t>
      </w:r>
    </w:p>
    <w:p/>
    <w:p>
      <w:pPr>
        <w:rPr>
          <w:sz w:val="28"/>
          <w:szCs w:val="28"/>
        </w:rPr>
      </w:pPr>
      <w:r>
        <w:rPr>
          <w:sz w:val="28"/>
          <w:szCs w:val="28"/>
        </w:rPr>
        <w:t xml:space="preserve">1、临床应用功能：飞秒制瓣；全飞秒微透镜取出术；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2、激光波长：≥1040nm；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3、标准软件：提供LASIK、LASEK、PRK、PTK 等治疗软件；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4、波长：≥190nm；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5、脉冲时间：220-580fs；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6、工作气体：内置一瓶氟化氩(ArF)；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7、气体泄漏报警：具有氟气外漏探测报警及过滤系统；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8、双脉冲频率：250Hz和500Hz； 治疗速度快，500Hz治疗速度≤1.3秒/D；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9、工作距离：≤19cm；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10、跟踪频率：≥1050 Hz；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11、激光扫描方式：小光斑高速飞点扫描；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12. 光束特点：高斯光斑，光斑直径：≤0.7mm（FWMH），能量密度：≥180j/cm2；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13、激光发射频率：≥350KHz；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14、扫描中心定位：患者固视下角膜顶点；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15、角膜瓣厚度：80~220μm；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16、角膜瓣侧切角可调范围：45°~ 135°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17、角膜瓣蒂的位置：360°任意可调；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18、角膜瓣蒂的夹角：30 –90°；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19、负压吸引系统：低负压角膜吸引，负压吸引环只需装载一次，计算机控制自动一次性负压吸引，患者舒适性好；手术床具有自动负压反馈系统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20、弧形负压吸引环：弧形曲面设计，符合人体角膜生理形状，可行三维立体切割；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21、可视操作：手术全程在全视野显微镜下观察操作；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22、人体角膜设计的接触镜，术中眼内压变化小；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23、裂隙灯：内置，直接进行手术评估；配备具有裂隙功能的手术显微镜；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24、运行环境：无需层流手术室，温度18~25 ℃，湿度30%~70%；环保设计，无需24小时开机，随时开机即可使用；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25、具备非球面节省角膜的切削模式，智能能量补偿，既可进行非球面切削，同时节省角膜组织；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26、治疗范围：-14D~+8D球镜，-6D~+6D柱镜；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27、治疗区：≤10mm；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28、瞄准光波长：532nm；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29、具有层流碎屑清除系统，能够及时清除消融的碎屑并保持角膜周围环境温度和湿度的稳定性，保证角膜周围的治疗环境处于最佳状态；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30、配置全球顶级五级变倍手术显微镜；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31、冷却方式：低噪音空气冷却；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32、激光腔：小型微陶瓷激光腔；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33、激光光路：真空密闭，无需要使用氮气等惰性气体；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34、具有自动瞳孔中心跟踪，辅助角巩膜缘跟踪；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35、跟踪系统：红外主动式；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37、全飞秒微透镜取出术模块                              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38、飞秒手术器械包                                    </w:t>
      </w:r>
    </w:p>
    <w:p>
      <w:pPr>
        <w:rPr>
          <w:sz w:val="44"/>
          <w:szCs w:val="44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（二）超广角眼底照相机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1、技术参数：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1设备用途：用于眼科视网膜和眼睛周边部分进行摄像，显示和存储相关的数据。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2成像技术原理：采用BLFI宽线眼底成像技术生成真实眼底色彩眼底图像。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3成像模式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3.1真彩色成像拍摄，真实反映眼底色彩，高还原度。具有红色，绿色和蓝色光通道分解查看功能，方便不同眼底层次诊断评估。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3.2具有红外成像IR功能，红外光具有强的组织穿透特性，用于观察脉络膜，睑板腺等深层结构。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3.3具有外眼，眼表成像拍摄功能。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sz w:val="28"/>
          <w:szCs w:val="28"/>
        </w:rPr>
        <w:t>拍摄监视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4.1采用屏幕实时红外眼底图像监视技术，可实时观察拍摄眼底情况，方便引导拍摄。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4.2具有双眼位实时监视窗口，引导眼位高度和前后距离。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sz w:val="28"/>
          <w:szCs w:val="28"/>
        </w:rPr>
        <w:t>拍摄角度，从眼球中心计算：广角成像模式133°，超广角成像模式200°，Montage拼图模式（高达6张拼接）≥267°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sz w:val="28"/>
          <w:szCs w:val="28"/>
        </w:rPr>
        <w:t>分辨率≤7.3微米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sz w:val="28"/>
          <w:szCs w:val="28"/>
        </w:rPr>
        <w:t>拍摄瞳孔直径最小值≤2.5毫米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sz w:val="28"/>
          <w:szCs w:val="28"/>
        </w:rPr>
        <w:t>工作距离：25毫米，从患者眼睛至镜头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sz w:val="28"/>
          <w:szCs w:val="28"/>
        </w:rPr>
        <w:t>屈光补偿范围：-24D至+20D连续可调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10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sz w:val="28"/>
          <w:szCs w:val="28"/>
        </w:rPr>
        <w:t>光源：连续光谱光源，红光585–640nm，绿光500–585nm，蓝光435–500nm，红外激光二极管，785nm。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sz w:val="28"/>
          <w:szCs w:val="28"/>
        </w:rPr>
        <w:t>采用高度可调整的一体化患者头托设计，无需操作者与患者头部接触辅助固定。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sz w:val="28"/>
          <w:szCs w:val="28"/>
        </w:rPr>
        <w:t>自动功能：自动对焦，自动增益，自动拼图，自动识别眼别。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13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sz w:val="28"/>
          <w:szCs w:val="28"/>
        </w:rPr>
        <w:t>采集速度≤0.2秒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14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sz w:val="28"/>
          <w:szCs w:val="28"/>
        </w:rPr>
        <w:t>实时红外预览≥10帧/秒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15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sz w:val="28"/>
          <w:szCs w:val="28"/>
        </w:rPr>
        <w:t>图像文件存储类型≥5种，必须包含DICOM、JPG、TIFF、JPG2000、PNG五种。</w:t>
      </w:r>
    </w:p>
    <w:p>
      <w:pPr>
        <w:rPr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（三）眼前节测量评估系统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sz w:val="28"/>
          <w:szCs w:val="28"/>
        </w:rPr>
        <w:t>三维眼位监控，体现x,y,z轴及眼动监控参数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sz w:val="28"/>
          <w:szCs w:val="28"/>
        </w:rPr>
        <w:t>自动化采集，检测时间≤2秒/眼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>
        <w:rPr>
          <w:sz w:val="28"/>
          <w:szCs w:val="28"/>
        </w:rPr>
        <w:t>具有角膜前、后表面高度图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>
        <w:rPr>
          <w:sz w:val="28"/>
          <w:szCs w:val="28"/>
        </w:rPr>
        <w:t>具备眼前节断层图像，可观察眼前节形态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>
        <w:rPr>
          <w:sz w:val="28"/>
          <w:szCs w:val="28"/>
        </w:rPr>
        <w:t>早期圆锥角膜筛查软件：根据圆锥角膜疾病特点，基于高度数据和厚度数据联合判断圆锥风险，且具有中国人数据库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</w:r>
      <w:r>
        <w:rPr>
          <w:sz w:val="28"/>
          <w:szCs w:val="28"/>
        </w:rPr>
        <w:t>圆锥角膜传统分级法：根据角膜前表面曲率数据综合判断典型圆锥等级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</w:r>
      <w:r>
        <w:rPr>
          <w:sz w:val="28"/>
          <w:szCs w:val="28"/>
        </w:rPr>
        <w:t>专业角膜病参考教材，《圆锥角膜图像解析》和《断层地形图学》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具备基于角膜厚度的眼压校正功能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</w:rPr>
        <w:tab/>
      </w:r>
      <w:r>
        <w:rPr>
          <w:sz w:val="28"/>
          <w:szCs w:val="28"/>
        </w:rPr>
        <w:t>前后表面地形图的原始数据采集方式为单一原理，无Placido环，确保前后表面所有数据点一一对应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</w:r>
      <w:r>
        <w:rPr>
          <w:sz w:val="28"/>
          <w:szCs w:val="28"/>
        </w:rPr>
        <w:t>自动测量白到白距离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11.</w:t>
      </w:r>
      <w:r>
        <w:rPr>
          <w:sz w:val="28"/>
          <w:szCs w:val="28"/>
        </w:rPr>
        <w:tab/>
      </w:r>
      <w:r>
        <w:rPr>
          <w:sz w:val="28"/>
          <w:szCs w:val="28"/>
        </w:rPr>
        <w:t>具备眼前节断层图像，可观察前节形态。可获取术后角膜瓣恢复情况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12.</w:t>
      </w:r>
      <w:r>
        <w:rPr>
          <w:sz w:val="28"/>
          <w:szCs w:val="28"/>
        </w:rPr>
        <w:tab/>
      </w:r>
      <w:r>
        <w:rPr>
          <w:sz w:val="28"/>
          <w:szCs w:val="28"/>
        </w:rPr>
        <w:t>可以与生物力学设备联机，联合筛查早期圆锥角膜</w:t>
      </w:r>
    </w:p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13. 系统的标准化诊断方案，源自用户的使用经验总结，含中国人数据库，具备典型圆锥角膜筛查和分级程序，用于亚临床圆锥的筛查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（四）角膜测厚仪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1、超声能量：Ispta3小于17mW/cm2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2、探头频率：20MHz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3、角膜超声速率范围1400-2000M/S，Ispta3小于28mW/cm2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4、默认设置1640m/s，MI小于0.23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5、偏离值：60% 130%，600 450um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6、尺寸220mm(W)222mm(D )x275mm(H)，8.7”(W)x8.7" ([D)x10.8"(H)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7、默认设置:70%/250um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8、重量4kg(8.8lbs)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9、测量范围150-1500um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10、测量精度：±5um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11、最小分辨率1um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主机频率50/60Hz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（五）验光仪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1、测量范围：7-60mmHg （根据ISO8612眼压计标准）；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2、测量分辨率：1mmHg/0.1kPa（根据ISO8612眼压计标准）；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3、固视灯：绿色固视LED灯；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4、左右眼：R/L（右/左眼）---通过改变额托，识别左右眼；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5、全自动：是；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6、演示：喷出空气，向患者演示流程；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7、测量柱状图：可计算平均数与标准差；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8、错误指示：有错误提示；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9、显示器：彩色监视器；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10、移动范围：左右通过额托移动，喷气头小范围上下左右移动；</w:t>
      </w:r>
    </w:p>
    <w:p>
      <w:pPr>
        <w:rPr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（六）裂隙灯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1、伽利略式立体显微镜；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2、放大倍率：5档: 10x目镜时：5x、8x、12x、20x、32x;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3、视场直径：10x目镜时：40…6mm，12.5x目镜时：31…5mm；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4、裂隙长度：0-14mm连续可调；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5、裂隙宽度：4档：0.3/3.5/8/14mm，1-6mm连续可调；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6、裂隙旋转角度：±90°连续可调；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7、裂隙图像偏轴角度：水平±4°范围，可在0°锁定；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8、裂隙投射器旋转角度：180°范围内任意角度，可在-10°、0°、+10°锁定；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9、滤光片：蓝，绿（无赤光）滤光片，旋入式；吸收滤光片，固定式；弥散光片，旋入式；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10、基座位移度：30mm(垂直）；110mm(X轴）；90mm(Y轴)；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11、光源：卤素灯；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12、光亮度：连续可调；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13、入射角度：0°或0°-20°倾斜棱镜头部。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（七）眼压计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1、测量范围：7-60mmHg （根据ISO8612眼压计标准）；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2、测量分辨率：1mmHg/0.1kPa（根据ISO8612眼压计标准）；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3、固视灯：绿色固视LED灯；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4、左右眼：R/L（右/左眼）---通过改变额托，识别左右眼；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5、全自动：是；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6、演示：喷出空气，向患者演示流程；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7、测量柱状图：可计算平均数与标准差；</w:t>
      </w:r>
    </w:p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8、移动范围：左右通过额托移动，喷气头小范围上下左右移动；</w:t>
      </w:r>
    </w:p>
    <w:p>
      <w:pPr>
        <w:pStyle w:val="2"/>
        <w:rPr>
          <w:sz w:val="24"/>
          <w:szCs w:val="28"/>
        </w:rPr>
      </w:pPr>
      <w:bookmarkStart w:id="0" w:name="_GoBack"/>
      <w:bookmarkEnd w:id="0"/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  <w:p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5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611B"/>
    <w:rsid w:val="0030505D"/>
    <w:rsid w:val="003348C7"/>
    <w:rsid w:val="003C1783"/>
    <w:rsid w:val="004069E7"/>
    <w:rsid w:val="004429CE"/>
    <w:rsid w:val="004D57B1"/>
    <w:rsid w:val="004F7C8C"/>
    <w:rsid w:val="0055791E"/>
    <w:rsid w:val="005B328B"/>
    <w:rsid w:val="005E0F71"/>
    <w:rsid w:val="006234E6"/>
    <w:rsid w:val="007A5FF2"/>
    <w:rsid w:val="008127D0"/>
    <w:rsid w:val="00812E2B"/>
    <w:rsid w:val="0084359E"/>
    <w:rsid w:val="00880E72"/>
    <w:rsid w:val="00937680"/>
    <w:rsid w:val="00981AB5"/>
    <w:rsid w:val="00B16A0E"/>
    <w:rsid w:val="00B86421"/>
    <w:rsid w:val="00C1104F"/>
    <w:rsid w:val="00CE2D05"/>
    <w:rsid w:val="00D51DC3"/>
    <w:rsid w:val="00D8611B"/>
    <w:rsid w:val="00E14DB0"/>
    <w:rsid w:val="01085D4E"/>
    <w:rsid w:val="020F71AF"/>
    <w:rsid w:val="023C4182"/>
    <w:rsid w:val="0E463ABF"/>
    <w:rsid w:val="0E527396"/>
    <w:rsid w:val="0E6B438E"/>
    <w:rsid w:val="0FA84CA6"/>
    <w:rsid w:val="12E82E96"/>
    <w:rsid w:val="2A8C0727"/>
    <w:rsid w:val="2E2319FE"/>
    <w:rsid w:val="3DEB053B"/>
    <w:rsid w:val="47036CF2"/>
    <w:rsid w:val="4ACD5EF7"/>
    <w:rsid w:val="506E44D9"/>
    <w:rsid w:val="51581DB0"/>
    <w:rsid w:val="51DC38F4"/>
    <w:rsid w:val="5BD561C7"/>
    <w:rsid w:val="662D281F"/>
    <w:rsid w:val="69BD6F49"/>
    <w:rsid w:val="71EE5529"/>
    <w:rsid w:val="73056504"/>
    <w:rsid w:val="73A1489D"/>
    <w:rsid w:val="7BDE7E6F"/>
    <w:rsid w:val="7BF250D4"/>
    <w:rsid w:val="7E22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9"/>
      <w:ind w:left="2176" w:right="2451"/>
      <w:jc w:val="center"/>
      <w:outlineLvl w:val="0"/>
    </w:pPr>
    <w:rPr>
      <w:rFonts w:ascii="宋体" w:hAnsi="宋体" w:eastAsia="宋体" w:cs="宋体"/>
      <w:b/>
      <w:bCs/>
      <w:sz w:val="36"/>
      <w:szCs w:val="36"/>
      <w:lang w:val="zh-CN" w:bidi="zh-CN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eastAsia="微软雅黑" w:asciiTheme="majorHAnsi" w:hAnsiTheme="majorHAnsi" w:cstheme="majorBidi"/>
      <w:b/>
      <w:bCs/>
      <w:szCs w:val="32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bidi="zh-CN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2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bidi="zh-CN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列表段落1"/>
    <w:basedOn w:val="1"/>
    <w:qFormat/>
    <w:uiPriority w:val="34"/>
    <w:pPr>
      <w:ind w:firstLine="420" w:firstLineChars="200"/>
    </w:pPr>
  </w:style>
  <w:style w:type="paragraph" w:customStyle="1" w:styleId="16">
    <w:name w:val="列表段落1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832</Characters>
  <Lines>6</Lines>
  <Paragraphs>1</Paragraphs>
  <TotalTime>0</TotalTime>
  <ScaleCrop>false</ScaleCrop>
  <LinksUpToDate>false</LinksUpToDate>
  <CharactersWithSpaces>976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2022-03-21T03:53:04Z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690A5EBA0EB241A99E1DE54414D2742D</vt:lpwstr>
  </property>
</Properties>
</file>