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双水平呼吸治疗仪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 xml:space="preserve">  设备编号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</w:rPr>
        <w:t>NYZBB-SBK-20220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>11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采购需求：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、基本要求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≥10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英寸触控屏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具备高压氧及低压氧接口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具备湿化系统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、通气模式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持续气道正压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 xml:space="preserve"> （NIV- CPAP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自主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/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时间切换 （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 xml:space="preserve">NIV- S/T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时间切换通气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 xml:space="preserve"> （NIV-  T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容量保证压力支持通气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 xml:space="preserve"> （NIV-VGPS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或同等呼吸模式）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、参数要求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潮气量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 xml:space="preserve"> 100-2000ml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呼吸频率：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 xml:space="preserve">1-55bpm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IPAP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（吸气压力）：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4-45cmH2O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EPAP (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呼气末正压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)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： 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4-25cmH2O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CPAP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： 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4-20cmH2O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吸入氧浓度：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 xml:space="preserve"> 21%~100%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最大漏气补偿：≥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60L/min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监测参数：</w:t>
      </w:r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气道峰压、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EPAP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、呼吸频率、潮气量、分钟通气量、总漏气量、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压力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时间 容量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时间、流速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时间、吸入氧浓度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医用干燥柜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 xml:space="preserve">  设备编号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</w:rPr>
        <w:t>NYZBB-SBK-20220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>12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采购需求：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1容积要求：≥400L 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外观整洁易于清理；显示屏位于柜体上罩（非密封门上），避免设备运行时，内部高温传导到密封门，对显示屏造成影响；控制面板采用金属材质，按键式操作，操作高度正对操作者，更加符合人机工程学的要求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采用品牌交流离心风机，电容感应启动外转子电动机，长效免维护，风机风量≥570m³/h，最大静压≥450Pa，噪音≤72dB，风机数量≥2个。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采用进口风压开关，当风机故障或运行中密封门开启，风压开关工作，程序停止运行，声音、显示报警，直至故障排除，方可继续正常运行程序。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双开门。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过氧化氢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val="en-US" w:eastAsia="zh-CN"/>
        </w:rPr>
        <w:t>低温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等离子灭菌器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 xml:space="preserve">  设备编号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</w:rPr>
        <w:t>NYZBB-SBK-20220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>13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采购需求：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总容积： ≥100L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具有门障碍开关功能，当碰触障碍开关时，门自动下降，防止夹伤操作者和夹坏物品。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根据灭菌物品特点，设置多个灭菌程序，具有对医疗器械的表面、管腔的灭菌程序和软式内镜的灭菌程序。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有温度，压力，时间，循环模式，过程阶段、灭菌剂使用和报警信息等。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打印机采用微型热敏打印机，打印记录保存3年以上能够打印记录：程序名称、灭菌日期、灭菌锅次、灭菌起始结束时间和灭菌过程的压力、温度、阶段时间、电源功率和结束状态等信息 。 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质保2年以上。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EB81B"/>
    <w:multiLevelType w:val="multilevel"/>
    <w:tmpl w:val="A36EB81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AB3374C2"/>
    <w:multiLevelType w:val="multilevel"/>
    <w:tmpl w:val="AB3374C2"/>
    <w:lvl w:ilvl="0" w:tentative="0">
      <w:start w:val="4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E0B5367"/>
    <w:multiLevelType w:val="multilevel"/>
    <w:tmpl w:val="7E0B53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72AE5"/>
    <w:rsid w:val="19E72AE5"/>
    <w:rsid w:val="542E3F85"/>
    <w:rsid w:val="57E2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2022-03-14T11:08:00Z</dcterms:created>
  <dc:creator>设备科温</dc:creator>
  <cp:lastModifiedBy>设备科温</cp:lastModifiedBy>
  <cp:lastPrinted>2022-03-14T11:22:00Z</cp:lastPrinted>
  <dcterms:modified xsi:type="dcterms:W3CDTF">2022-03-15T04:12:11Z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6BE794BCC60944A3A254DE54CC2879AB</vt:lpwstr>
  </property>
</Properties>
</file>