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rPr>
          <w:rFonts w:hint="eastAsia" w:ascii="等线" w:hAnsi="等线" w:eastAsia="等线"/>
          <w:b w:val="0"/>
          <w:highlight w:val="none"/>
          <w:lang w:eastAsia="zh-CN"/>
        </w:rPr>
      </w:pPr>
      <w:r>
        <w:rPr>
          <w:rFonts w:hint="eastAsia" w:ascii="等线" w:hAnsi="等线" w:eastAsia="等线"/>
          <w:b w:val="0"/>
          <w:highlight w:val="none"/>
          <w:lang w:val="en-US" w:eastAsia="zh-CN"/>
        </w:rPr>
        <w:t>手麻系统升级及扩增</w:t>
      </w:r>
      <w:r>
        <w:rPr>
          <w:rFonts w:hint="eastAsia" w:ascii="等线" w:hAnsi="等线" w:eastAsia="等线"/>
          <w:b w:val="0"/>
          <w:highlight w:val="none"/>
          <w:lang w:eastAsia="zh-CN"/>
        </w:rPr>
        <w:t>需求</w:t>
      </w:r>
    </w:p>
    <w:p>
      <w:pPr>
        <w:pStyle w:val="2"/>
        <w:rPr>
          <w:highlight w:val="none"/>
        </w:rPr>
      </w:pPr>
      <w:r>
        <w:rPr>
          <w:rFonts w:hint="eastAsia"/>
          <w:highlight w:val="none"/>
        </w:rPr>
        <w:t>采购货物清单</w:t>
      </w:r>
    </w:p>
    <w:tbl>
      <w:tblPr>
        <w:tblStyle w:val="1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2303"/>
        <w:gridCol w:w="749"/>
        <w:gridCol w:w="684"/>
        <w:gridCol w:w="4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1" w:type="pct"/>
            <w:vAlign w:val="center"/>
          </w:tcPr>
          <w:p>
            <w:pPr>
              <w:spacing w:line="360" w:lineRule="auto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序号</w:t>
            </w:r>
          </w:p>
        </w:tc>
        <w:tc>
          <w:tcPr>
            <w:tcW w:w="1316" w:type="pct"/>
          </w:tcPr>
          <w:p>
            <w:pPr>
              <w:spacing w:line="360" w:lineRule="auto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货物名称</w:t>
            </w:r>
          </w:p>
        </w:tc>
        <w:tc>
          <w:tcPr>
            <w:tcW w:w="428" w:type="pct"/>
            <w:vAlign w:val="center"/>
          </w:tcPr>
          <w:p>
            <w:pPr>
              <w:spacing w:line="360" w:lineRule="auto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单位</w:t>
            </w:r>
          </w:p>
        </w:tc>
        <w:tc>
          <w:tcPr>
            <w:tcW w:w="391" w:type="pct"/>
          </w:tcPr>
          <w:p>
            <w:pPr>
              <w:spacing w:line="360" w:lineRule="auto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数量</w:t>
            </w:r>
          </w:p>
        </w:tc>
        <w:tc>
          <w:tcPr>
            <w:tcW w:w="2471" w:type="pct"/>
          </w:tcPr>
          <w:p>
            <w:pPr>
              <w:spacing w:line="360" w:lineRule="auto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1" w:type="pct"/>
            <w:vAlign w:val="center"/>
          </w:tcPr>
          <w:p>
            <w:pPr>
              <w:spacing w:line="360" w:lineRule="auto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1</w:t>
            </w:r>
          </w:p>
        </w:tc>
        <w:tc>
          <w:tcPr>
            <w:tcW w:w="1316" w:type="pct"/>
            <w:vAlign w:val="center"/>
          </w:tcPr>
          <w:p>
            <w:pPr>
              <w:spacing w:line="360" w:lineRule="auto"/>
              <w:rPr>
                <w:rFonts w:hint="default" w:eastAsiaTheme="minorEastAsia"/>
                <w:color w:val="000000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麻醉临床信息系统</w:t>
            </w:r>
          </w:p>
        </w:tc>
        <w:tc>
          <w:tcPr>
            <w:tcW w:w="428" w:type="pct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color w:val="000000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间</w:t>
            </w:r>
          </w:p>
        </w:tc>
        <w:tc>
          <w:tcPr>
            <w:tcW w:w="391" w:type="pct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color w:val="000000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5</w:t>
            </w:r>
          </w:p>
        </w:tc>
        <w:tc>
          <w:tcPr>
            <w:tcW w:w="2471" w:type="pct"/>
          </w:tcPr>
          <w:p>
            <w:pPr>
              <w:spacing w:line="360" w:lineRule="auto"/>
              <w:rPr>
                <w:rFonts w:hint="default" w:eastAsiaTheme="minorEastAsia"/>
                <w:color w:val="000000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新增5个采集手术间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391" w:type="pct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color w:val="000000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2</w:t>
            </w:r>
          </w:p>
        </w:tc>
        <w:tc>
          <w:tcPr>
            <w:tcW w:w="1316" w:type="pct"/>
            <w:vAlign w:val="center"/>
          </w:tcPr>
          <w:p>
            <w:pPr>
              <w:spacing w:line="360" w:lineRule="auto"/>
              <w:rPr>
                <w:rFonts w:hint="eastAsia"/>
                <w:color w:val="000000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麻醉临床信息系统</w:t>
            </w:r>
          </w:p>
        </w:tc>
        <w:tc>
          <w:tcPr>
            <w:tcW w:w="428" w:type="pct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间</w:t>
            </w:r>
          </w:p>
        </w:tc>
        <w:tc>
          <w:tcPr>
            <w:tcW w:w="391" w:type="pct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color w:val="000000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13</w:t>
            </w:r>
          </w:p>
        </w:tc>
        <w:tc>
          <w:tcPr>
            <w:tcW w:w="2471" w:type="pct"/>
          </w:tcPr>
          <w:p>
            <w:pPr>
              <w:spacing w:line="360" w:lineRule="auto"/>
              <w:rPr>
                <w:rFonts w:hint="default"/>
                <w:color w:val="000000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新增13个非采集手术间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1" w:type="pct"/>
            <w:vAlign w:val="center"/>
          </w:tcPr>
          <w:p>
            <w:pPr>
              <w:spacing w:line="360" w:lineRule="auto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2</w:t>
            </w:r>
          </w:p>
        </w:tc>
        <w:tc>
          <w:tcPr>
            <w:tcW w:w="1316" w:type="pct"/>
            <w:vAlign w:val="center"/>
          </w:tcPr>
          <w:p>
            <w:pPr>
              <w:spacing w:line="360" w:lineRule="auto"/>
              <w:rPr>
                <w:rFonts w:hint="default" w:eastAsiaTheme="minorEastAsia"/>
                <w:color w:val="000000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原有系统升级</w:t>
            </w:r>
          </w:p>
        </w:tc>
        <w:tc>
          <w:tcPr>
            <w:tcW w:w="428" w:type="pct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color w:val="000000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套</w:t>
            </w:r>
          </w:p>
        </w:tc>
        <w:tc>
          <w:tcPr>
            <w:tcW w:w="391" w:type="pct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color w:val="000000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1</w:t>
            </w:r>
          </w:p>
        </w:tc>
        <w:tc>
          <w:tcPr>
            <w:tcW w:w="2471" w:type="pct"/>
          </w:tcPr>
          <w:p>
            <w:pPr>
              <w:spacing w:line="360" w:lineRule="auto"/>
              <w:rPr>
                <w:rFonts w:hint="default" w:eastAsiaTheme="minorEastAsia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符合电子病历以及互联互通评审需求</w:t>
            </w:r>
          </w:p>
        </w:tc>
      </w:tr>
    </w:tbl>
    <w:p>
      <w:pPr>
        <w:pStyle w:val="2"/>
        <w:rPr>
          <w:highlight w:val="none"/>
        </w:rPr>
      </w:pPr>
      <w:r>
        <w:rPr>
          <w:rFonts w:hint="eastAsia"/>
          <w:highlight w:val="none"/>
        </w:rPr>
        <w:t>技术要求</w:t>
      </w:r>
    </w:p>
    <w:p>
      <w:pPr>
        <w:pStyle w:val="3"/>
        <w:rPr>
          <w:rFonts w:ascii="等线" w:hAnsi="等线" w:eastAsia="等线"/>
          <w:highlight w:val="none"/>
        </w:rPr>
      </w:pPr>
      <w:r>
        <w:rPr>
          <w:rFonts w:hint="eastAsia" w:ascii="等线" w:hAnsi="等线" w:eastAsia="等线"/>
          <w:highlight w:val="none"/>
          <w:lang w:val="en-US" w:eastAsia="zh-CN"/>
        </w:rPr>
        <w:t>互联互通评测需求清单</w:t>
      </w:r>
    </w:p>
    <w:tbl>
      <w:tblPr>
        <w:tblStyle w:val="14"/>
        <w:tblW w:w="81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523"/>
        <w:gridCol w:w="3315"/>
        <w:gridCol w:w="26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产品模块</w:t>
            </w:r>
          </w:p>
        </w:tc>
        <w:tc>
          <w:tcPr>
            <w:tcW w:w="3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功能描述</w:t>
            </w:r>
          </w:p>
        </w:tc>
        <w:tc>
          <w:tcPr>
            <w:tcW w:w="2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接口明细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15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文书共享回传至CDR中心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br w:type="textWrapping"/>
            </w:r>
          </w:p>
        </w:tc>
        <w:tc>
          <w:tcPr>
            <w:tcW w:w="33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根据医院数据平台对接方式，可选择由麻醉系统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000000"/>
                <w:kern w:val="0"/>
                <w:sz w:val="20"/>
                <w:szCs w:val="20"/>
                <w:highlight w:val="none"/>
              </w:rPr>
              <w:t>生成CDA标准文档并通过消息注册到平台进行共享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,或者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提供CDR文书数据（视图或中间表方式）供CDR系统进行数据整合及共享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。完成平台对接，最终将文书共享回传至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CDR中心。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麻醉术前访视记录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6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2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麻醉知情同意书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6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2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麻醉记录单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2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麻醉术后访视记录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6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2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手术护理记录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152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单点登录</w:t>
            </w:r>
          </w:p>
        </w:tc>
        <w:tc>
          <w:tcPr>
            <w:tcW w:w="33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统一门户登录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并入集成平台统一门户登录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52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360视图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麻醉系统调阅360视图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麻醉系统调阅360视图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6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152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自动回传工具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视图数据回传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视图数据回传工具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6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2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文书自动定时回传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或系统触发回传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文书自动回传工具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PDF文书及数据回传至病案归档系统</w:t>
            </w:r>
          </w:p>
        </w:tc>
      </w:tr>
    </w:tbl>
    <w:p>
      <w:pPr>
        <w:rPr>
          <w:highlight w:val="none"/>
        </w:rPr>
      </w:pPr>
    </w:p>
    <w:p>
      <w:pPr>
        <w:pStyle w:val="3"/>
        <w:rPr>
          <w:rFonts w:ascii="等线" w:hAnsi="等线" w:eastAsia="等线"/>
          <w:highlight w:val="none"/>
        </w:rPr>
      </w:pPr>
      <w:r>
        <w:rPr>
          <w:rFonts w:hint="eastAsia" w:ascii="等线" w:hAnsi="等线" w:eastAsia="等线"/>
          <w:highlight w:val="none"/>
          <w:lang w:val="en-US" w:eastAsia="zh-CN"/>
        </w:rPr>
        <w:t>电子病历评测需求清单</w:t>
      </w:r>
    </w:p>
    <w:tbl>
      <w:tblPr>
        <w:tblStyle w:val="14"/>
        <w:tblW w:w="8175" w:type="dxa"/>
        <w:tblInd w:w="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175"/>
        <w:gridCol w:w="1487"/>
        <w:gridCol w:w="4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产品模块</w:t>
            </w:r>
          </w:p>
        </w:tc>
        <w:tc>
          <w:tcPr>
            <w:tcW w:w="485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功能描述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3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117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麻醉五级</w:t>
            </w:r>
          </w:p>
        </w:tc>
        <w:tc>
          <w:tcPr>
            <w:tcW w:w="1487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手术名称改造</w:t>
            </w:r>
          </w:p>
        </w:tc>
        <w:tc>
          <w:tcPr>
            <w:tcW w:w="485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同步全院统一的标准手术名称字典、手术编码。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75" w:type="dxa"/>
            <w:vMerge w:val="continue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8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85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对麻醉记录单中的手术名称进行规范，存入标准的手术名称、手术编码。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1175" w:type="dxa"/>
            <w:vMerge w:val="continue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8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麻醉评分</w:t>
            </w:r>
          </w:p>
        </w:tc>
        <w:tc>
          <w:tcPr>
            <w:tcW w:w="485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系统能够根据获得的患者生命体征数据、临床或病房提供信息、各种检验结果、检查结果等数据，计算出在麻醉过程中常用的判断患者创伤程度、危重程度等风险评分。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175" w:type="dxa"/>
            <w:vMerge w:val="continue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麻醉单数据回传</w:t>
            </w:r>
          </w:p>
        </w:tc>
        <w:tc>
          <w:tcPr>
            <w:tcW w:w="485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提供麻醉单视图或CDA标准文档数据供其他系统调用。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175" w:type="dxa"/>
            <w:vMerge w:val="continue"/>
            <w:shd w:val="clear" w:color="auto" w:fill="auto"/>
            <w:noWrap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麻醉体征预警</w:t>
            </w:r>
          </w:p>
        </w:tc>
        <w:tc>
          <w:tcPr>
            <w:tcW w:w="485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能够设置需监测的生命体征以及预警阀值。当患者出现异常体征时能自动弹出消息窗，发出警示。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3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17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8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腕带扫描</w:t>
            </w:r>
          </w:p>
        </w:tc>
        <w:tc>
          <w:tcPr>
            <w:tcW w:w="485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提供患者腕带打印功能，来标识患者。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7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8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85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通过扫描患者腕带核对患者身份，麻醉程序中直接定位到扫描患者，避免医疗差错。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117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电子签名及时间戳</w:t>
            </w:r>
          </w:p>
        </w:tc>
        <w:tc>
          <w:tcPr>
            <w:tcW w:w="485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使用我院现用电子签名系统，文书实现电子签名及时间戳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6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1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数据质量服务</w:t>
            </w:r>
          </w:p>
        </w:tc>
        <w:tc>
          <w:tcPr>
            <w:tcW w:w="148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数据质量评估填报</w:t>
            </w:r>
          </w:p>
        </w:tc>
        <w:tc>
          <w:tcPr>
            <w:tcW w:w="485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针对麻醉系统以及相关信息系统内数据质量的一致性、完整性、及时性、整合性进行比对筛查，现场驻点提供数据申报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及评审支持服务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服务。</w:t>
            </w:r>
          </w:p>
        </w:tc>
      </w:tr>
    </w:tbl>
    <w:p>
      <w:pPr>
        <w:rPr>
          <w:highlight w:val="none"/>
        </w:rPr>
      </w:pPr>
    </w:p>
    <w:p>
      <w:pPr>
        <w:pStyle w:val="3"/>
        <w:rPr>
          <w:rFonts w:ascii="等线" w:hAnsi="等线" w:eastAsia="等线"/>
          <w:highlight w:val="none"/>
        </w:rPr>
      </w:pPr>
      <w:r>
        <w:rPr>
          <w:rFonts w:hint="eastAsia" w:ascii="等线" w:hAnsi="等线" w:eastAsia="等线"/>
          <w:highlight w:val="none"/>
          <w:lang w:val="en-US" w:eastAsia="zh-CN"/>
        </w:rPr>
        <w:t>扩增手术间需求清单</w:t>
      </w:r>
      <w:bookmarkStart w:id="0" w:name="_GoBack"/>
      <w:bookmarkEnd w:id="0"/>
    </w:p>
    <w:p>
      <w:pPr>
        <w:rPr>
          <w:rFonts w:hint="eastAsia" w:ascii="宋体" w:hAnsi="宋体" w:eastAsia="宋体" w:cs="宋体"/>
          <w:sz w:val="28"/>
          <w:szCs w:val="28"/>
          <w:highlight w:val="none"/>
          <w:lang w:val="en-US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需与现有系统功能一致并且无缝对接。</w:t>
      </w:r>
    </w:p>
    <w:tbl>
      <w:tblPr>
        <w:tblStyle w:val="14"/>
        <w:tblW w:w="771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7"/>
        <w:gridCol w:w="4225"/>
        <w:gridCol w:w="15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区域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是否采集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内镜中心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消化1号室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消化2号室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消化3号室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消化4号室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呼吸检查室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生殖中心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宫腔镜室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取卵室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产科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门诊人流室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老病房产室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新VIP产室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妇科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门诊检查室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病区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超声科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介入室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3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介入室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1号间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2号间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手术室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新增手术间1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新增手术间2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新增手术间3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是</w:t>
            </w:r>
          </w:p>
        </w:tc>
      </w:tr>
    </w:tbl>
    <w:p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0"/>
          <w:szCs w:val="20"/>
          <w:highlight w:val="none"/>
        </w:rPr>
      </w:pP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F6E8E"/>
    <w:multiLevelType w:val="multilevel"/>
    <w:tmpl w:val="19FF6E8E"/>
    <w:lvl w:ilvl="0" w:tentative="0">
      <w:start w:val="1"/>
      <w:numFmt w:val="decimal"/>
      <w:pStyle w:val="31"/>
      <w:lvlText w:val="%1)"/>
      <w:lvlJc w:val="left"/>
      <w:pPr>
        <w:ind w:left="900" w:hanging="420"/>
      </w:pPr>
    </w:lvl>
    <w:lvl w:ilvl="1" w:tentative="0">
      <w:start w:val="1"/>
      <w:numFmt w:val="lowerLetter"/>
      <w:pStyle w:val="38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6BA27724"/>
    <w:multiLevelType w:val="multilevel"/>
    <w:tmpl w:val="6BA27724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FiZGU5MzFmMWM2ZmEyYmVlYjhkODAzYTJjYzY3YjcifQ=="/>
  </w:docVars>
  <w:rsids>
    <w:rsidRoot w:val="00D82A12"/>
    <w:rsid w:val="00010A0E"/>
    <w:rsid w:val="000171CF"/>
    <w:rsid w:val="00025D5F"/>
    <w:rsid w:val="00042602"/>
    <w:rsid w:val="000438CD"/>
    <w:rsid w:val="000448D3"/>
    <w:rsid w:val="00047847"/>
    <w:rsid w:val="0008607A"/>
    <w:rsid w:val="00097AE8"/>
    <w:rsid w:val="000D4A2D"/>
    <w:rsid w:val="000E3546"/>
    <w:rsid w:val="000F43F2"/>
    <w:rsid w:val="00102579"/>
    <w:rsid w:val="001072E2"/>
    <w:rsid w:val="001339B3"/>
    <w:rsid w:val="00140273"/>
    <w:rsid w:val="0015064D"/>
    <w:rsid w:val="00166C4B"/>
    <w:rsid w:val="00173CCE"/>
    <w:rsid w:val="00177639"/>
    <w:rsid w:val="001800F4"/>
    <w:rsid w:val="00180EF1"/>
    <w:rsid w:val="001865DB"/>
    <w:rsid w:val="001A7D83"/>
    <w:rsid w:val="001B0FEB"/>
    <w:rsid w:val="001B1FE6"/>
    <w:rsid w:val="001C1210"/>
    <w:rsid w:val="001F2D88"/>
    <w:rsid w:val="0022540D"/>
    <w:rsid w:val="00225F37"/>
    <w:rsid w:val="0023139C"/>
    <w:rsid w:val="00275585"/>
    <w:rsid w:val="00282B97"/>
    <w:rsid w:val="00294C36"/>
    <w:rsid w:val="00296130"/>
    <w:rsid w:val="002A3A8F"/>
    <w:rsid w:val="002B2195"/>
    <w:rsid w:val="002C77CD"/>
    <w:rsid w:val="002F0A8C"/>
    <w:rsid w:val="00301519"/>
    <w:rsid w:val="00305A5C"/>
    <w:rsid w:val="003109FF"/>
    <w:rsid w:val="00313245"/>
    <w:rsid w:val="00322B11"/>
    <w:rsid w:val="00336B0E"/>
    <w:rsid w:val="00351779"/>
    <w:rsid w:val="00353F14"/>
    <w:rsid w:val="00355576"/>
    <w:rsid w:val="00365242"/>
    <w:rsid w:val="00365BB8"/>
    <w:rsid w:val="0036621A"/>
    <w:rsid w:val="003831F4"/>
    <w:rsid w:val="003A1C48"/>
    <w:rsid w:val="003B690F"/>
    <w:rsid w:val="003E694C"/>
    <w:rsid w:val="003F175F"/>
    <w:rsid w:val="003F26CE"/>
    <w:rsid w:val="003F6BFD"/>
    <w:rsid w:val="00411B4D"/>
    <w:rsid w:val="00413564"/>
    <w:rsid w:val="00420450"/>
    <w:rsid w:val="00420C2A"/>
    <w:rsid w:val="004379B6"/>
    <w:rsid w:val="0045456C"/>
    <w:rsid w:val="00462505"/>
    <w:rsid w:val="00464A6C"/>
    <w:rsid w:val="0047121E"/>
    <w:rsid w:val="004721F1"/>
    <w:rsid w:val="00473A2B"/>
    <w:rsid w:val="00486DBF"/>
    <w:rsid w:val="00491CC7"/>
    <w:rsid w:val="004A40E2"/>
    <w:rsid w:val="004B19D7"/>
    <w:rsid w:val="004D32DA"/>
    <w:rsid w:val="004F0453"/>
    <w:rsid w:val="004F3833"/>
    <w:rsid w:val="00553CCC"/>
    <w:rsid w:val="00573986"/>
    <w:rsid w:val="005742AC"/>
    <w:rsid w:val="00595CBC"/>
    <w:rsid w:val="00596C64"/>
    <w:rsid w:val="005A1A74"/>
    <w:rsid w:val="005B6E28"/>
    <w:rsid w:val="005D066D"/>
    <w:rsid w:val="005F112D"/>
    <w:rsid w:val="00605D1E"/>
    <w:rsid w:val="00611BBD"/>
    <w:rsid w:val="00613F6D"/>
    <w:rsid w:val="00614494"/>
    <w:rsid w:val="0062641B"/>
    <w:rsid w:val="0063157C"/>
    <w:rsid w:val="006351A3"/>
    <w:rsid w:val="006532FF"/>
    <w:rsid w:val="00654A55"/>
    <w:rsid w:val="00655092"/>
    <w:rsid w:val="0065583E"/>
    <w:rsid w:val="006757A3"/>
    <w:rsid w:val="00676B7C"/>
    <w:rsid w:val="00697762"/>
    <w:rsid w:val="006B4CB3"/>
    <w:rsid w:val="006B7CF7"/>
    <w:rsid w:val="006C2DB5"/>
    <w:rsid w:val="006C4A68"/>
    <w:rsid w:val="006E5116"/>
    <w:rsid w:val="006F566C"/>
    <w:rsid w:val="0071683E"/>
    <w:rsid w:val="00731273"/>
    <w:rsid w:val="007456EB"/>
    <w:rsid w:val="00745A89"/>
    <w:rsid w:val="00780B09"/>
    <w:rsid w:val="007851B4"/>
    <w:rsid w:val="00787A34"/>
    <w:rsid w:val="007C6EBD"/>
    <w:rsid w:val="007D42E9"/>
    <w:rsid w:val="0080028E"/>
    <w:rsid w:val="008171C0"/>
    <w:rsid w:val="00820C94"/>
    <w:rsid w:val="008270A2"/>
    <w:rsid w:val="00841B27"/>
    <w:rsid w:val="00856539"/>
    <w:rsid w:val="008620DF"/>
    <w:rsid w:val="00873C3D"/>
    <w:rsid w:val="00895A3B"/>
    <w:rsid w:val="008C2D80"/>
    <w:rsid w:val="008D075E"/>
    <w:rsid w:val="008D552D"/>
    <w:rsid w:val="008E2FC2"/>
    <w:rsid w:val="0090417D"/>
    <w:rsid w:val="009132D8"/>
    <w:rsid w:val="00935BF1"/>
    <w:rsid w:val="00936620"/>
    <w:rsid w:val="00986ED2"/>
    <w:rsid w:val="0098785E"/>
    <w:rsid w:val="009920A4"/>
    <w:rsid w:val="00994926"/>
    <w:rsid w:val="00995383"/>
    <w:rsid w:val="009B4199"/>
    <w:rsid w:val="009B72AA"/>
    <w:rsid w:val="009C3F2C"/>
    <w:rsid w:val="009C6AB3"/>
    <w:rsid w:val="009D43D3"/>
    <w:rsid w:val="009D4497"/>
    <w:rsid w:val="009D6EE6"/>
    <w:rsid w:val="009E0CF3"/>
    <w:rsid w:val="009E42CF"/>
    <w:rsid w:val="009E5706"/>
    <w:rsid w:val="009F6EC6"/>
    <w:rsid w:val="00A84143"/>
    <w:rsid w:val="00AA01FD"/>
    <w:rsid w:val="00AB1C27"/>
    <w:rsid w:val="00AB5005"/>
    <w:rsid w:val="00AC4796"/>
    <w:rsid w:val="00AC5F58"/>
    <w:rsid w:val="00AC71A4"/>
    <w:rsid w:val="00AC79B9"/>
    <w:rsid w:val="00AD15F1"/>
    <w:rsid w:val="00AD625C"/>
    <w:rsid w:val="00AF7E85"/>
    <w:rsid w:val="00B12954"/>
    <w:rsid w:val="00B15C0C"/>
    <w:rsid w:val="00B26AFB"/>
    <w:rsid w:val="00B50772"/>
    <w:rsid w:val="00B66F6B"/>
    <w:rsid w:val="00B84E3C"/>
    <w:rsid w:val="00B96555"/>
    <w:rsid w:val="00BA09FE"/>
    <w:rsid w:val="00BB7247"/>
    <w:rsid w:val="00BF0B55"/>
    <w:rsid w:val="00C03488"/>
    <w:rsid w:val="00C60AAD"/>
    <w:rsid w:val="00C679A4"/>
    <w:rsid w:val="00C74BF8"/>
    <w:rsid w:val="00C77D28"/>
    <w:rsid w:val="00C90F6D"/>
    <w:rsid w:val="00C96E6F"/>
    <w:rsid w:val="00CB560C"/>
    <w:rsid w:val="00D0223B"/>
    <w:rsid w:val="00D03BDE"/>
    <w:rsid w:val="00D13C9A"/>
    <w:rsid w:val="00D13DDF"/>
    <w:rsid w:val="00D20E31"/>
    <w:rsid w:val="00D24613"/>
    <w:rsid w:val="00D275C1"/>
    <w:rsid w:val="00D403B2"/>
    <w:rsid w:val="00D44BEB"/>
    <w:rsid w:val="00D50B23"/>
    <w:rsid w:val="00D82A12"/>
    <w:rsid w:val="00D86982"/>
    <w:rsid w:val="00D86A55"/>
    <w:rsid w:val="00DA2744"/>
    <w:rsid w:val="00DE6889"/>
    <w:rsid w:val="00DF1580"/>
    <w:rsid w:val="00E42298"/>
    <w:rsid w:val="00E509C2"/>
    <w:rsid w:val="00E67C58"/>
    <w:rsid w:val="00E83564"/>
    <w:rsid w:val="00E8733F"/>
    <w:rsid w:val="00EB0190"/>
    <w:rsid w:val="00EB0B6C"/>
    <w:rsid w:val="00EB598A"/>
    <w:rsid w:val="00F00D53"/>
    <w:rsid w:val="00F22051"/>
    <w:rsid w:val="00F458D1"/>
    <w:rsid w:val="00F53C8D"/>
    <w:rsid w:val="00F552BB"/>
    <w:rsid w:val="00F623D1"/>
    <w:rsid w:val="00F6758F"/>
    <w:rsid w:val="00F934BE"/>
    <w:rsid w:val="00FA35AC"/>
    <w:rsid w:val="00FB443D"/>
    <w:rsid w:val="00FC1CC0"/>
    <w:rsid w:val="00FC22C4"/>
    <w:rsid w:val="00FD1C86"/>
    <w:rsid w:val="00FE5247"/>
    <w:rsid w:val="08BE4FDE"/>
    <w:rsid w:val="12984C6B"/>
    <w:rsid w:val="1ADC5862"/>
    <w:rsid w:val="22196B70"/>
    <w:rsid w:val="235071B5"/>
    <w:rsid w:val="24A56041"/>
    <w:rsid w:val="31D67E51"/>
    <w:rsid w:val="376C4F8C"/>
    <w:rsid w:val="3E2A69E5"/>
    <w:rsid w:val="3EC96E73"/>
    <w:rsid w:val="42A24D24"/>
    <w:rsid w:val="4E99323E"/>
    <w:rsid w:val="56D97429"/>
    <w:rsid w:val="5A11440C"/>
    <w:rsid w:val="5C9A6665"/>
    <w:rsid w:val="5D6C68AD"/>
    <w:rsid w:val="5EC4601C"/>
    <w:rsid w:val="69194E93"/>
    <w:rsid w:val="6A2C038F"/>
    <w:rsid w:val="6CC637DE"/>
    <w:rsid w:val="70041AF0"/>
    <w:rsid w:val="700B78CA"/>
    <w:rsid w:val="7353347C"/>
    <w:rsid w:val="76200720"/>
    <w:rsid w:val="77A03810"/>
    <w:rsid w:val="78A3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4"/>
      <w:szCs w:val="28"/>
    </w:rPr>
  </w:style>
  <w:style w:type="paragraph" w:styleId="6">
    <w:name w:val="heading 5"/>
    <w:basedOn w:val="1"/>
    <w:next w:val="1"/>
    <w:link w:val="21"/>
    <w:unhideWhenUsed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2"/>
    <w:unhideWhenUsed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23"/>
    <w:unhideWhenUsed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24"/>
    <w:unhideWhenUsed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itle"/>
    <w:basedOn w:val="1"/>
    <w:next w:val="1"/>
    <w:link w:val="16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标题 字符"/>
    <w:basedOn w:val="15"/>
    <w:link w:val="13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标题 1 字符"/>
    <w:basedOn w:val="15"/>
    <w:link w:val="2"/>
    <w:qFormat/>
    <w:uiPriority w:val="9"/>
    <w:rPr>
      <w:b/>
      <w:bCs/>
      <w:kern w:val="44"/>
      <w:sz w:val="32"/>
      <w:szCs w:val="44"/>
    </w:rPr>
  </w:style>
  <w:style w:type="character" w:customStyle="1" w:styleId="18">
    <w:name w:val="标题 2 字符"/>
    <w:basedOn w:val="15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">
    <w:name w:val="标题 3 字符"/>
    <w:basedOn w:val="15"/>
    <w:link w:val="4"/>
    <w:qFormat/>
    <w:uiPriority w:val="9"/>
    <w:rPr>
      <w:b/>
      <w:bCs/>
      <w:sz w:val="32"/>
      <w:szCs w:val="32"/>
    </w:rPr>
  </w:style>
  <w:style w:type="character" w:customStyle="1" w:styleId="20">
    <w:name w:val="标题 4 字符"/>
    <w:basedOn w:val="15"/>
    <w:link w:val="5"/>
    <w:qFormat/>
    <w:uiPriority w:val="9"/>
    <w:rPr>
      <w:rFonts w:asciiTheme="majorHAnsi" w:hAnsiTheme="majorHAnsi" w:eastAsiaTheme="majorEastAsia" w:cstheme="majorBidi"/>
      <w:b/>
      <w:bCs/>
      <w:sz w:val="24"/>
      <w:szCs w:val="28"/>
    </w:rPr>
  </w:style>
  <w:style w:type="character" w:customStyle="1" w:styleId="21">
    <w:name w:val="标题 5 字符"/>
    <w:basedOn w:val="15"/>
    <w:link w:val="6"/>
    <w:semiHidden/>
    <w:qFormat/>
    <w:uiPriority w:val="9"/>
    <w:rPr>
      <w:b/>
      <w:bCs/>
      <w:sz w:val="28"/>
      <w:szCs w:val="28"/>
    </w:rPr>
  </w:style>
  <w:style w:type="character" w:customStyle="1" w:styleId="22">
    <w:name w:val="标题 6 字符"/>
    <w:basedOn w:val="15"/>
    <w:link w:val="7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23">
    <w:name w:val="标题 7 字符"/>
    <w:basedOn w:val="15"/>
    <w:link w:val="8"/>
    <w:semiHidden/>
    <w:qFormat/>
    <w:uiPriority w:val="9"/>
    <w:rPr>
      <w:b/>
      <w:bCs/>
      <w:sz w:val="24"/>
      <w:szCs w:val="24"/>
    </w:rPr>
  </w:style>
  <w:style w:type="character" w:customStyle="1" w:styleId="24">
    <w:name w:val="标题 8 字符"/>
    <w:basedOn w:val="15"/>
    <w:link w:val="9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25">
    <w:name w:val="标题 9 字符"/>
    <w:basedOn w:val="15"/>
    <w:link w:val="10"/>
    <w:semiHidden/>
    <w:qFormat/>
    <w:uiPriority w:val="9"/>
    <w:rPr>
      <w:rFonts w:asciiTheme="majorHAnsi" w:hAnsiTheme="majorHAnsi" w:eastAsiaTheme="majorEastAsia" w:cstheme="majorBidi"/>
      <w:szCs w:val="21"/>
    </w:rPr>
  </w:style>
  <w:style w:type="paragraph" w:customStyle="1" w:styleId="26">
    <w:name w:val="参数正文"/>
    <w:basedOn w:val="1"/>
    <w:link w:val="27"/>
    <w:qFormat/>
    <w:uiPriority w:val="0"/>
    <w:pPr>
      <w:spacing w:line="360" w:lineRule="auto"/>
      <w:ind w:firstLine="480" w:firstLineChars="200"/>
      <w:jc w:val="left"/>
    </w:pPr>
    <w:rPr>
      <w:rFonts w:ascii="宋体" w:hAnsi="宋体" w:eastAsia="等线" w:cs="Times New Roman"/>
      <w:sz w:val="24"/>
      <w:szCs w:val="24"/>
    </w:rPr>
  </w:style>
  <w:style w:type="character" w:customStyle="1" w:styleId="27">
    <w:name w:val="参数正文 字符"/>
    <w:basedOn w:val="15"/>
    <w:link w:val="26"/>
    <w:qFormat/>
    <w:uiPriority w:val="0"/>
    <w:rPr>
      <w:rFonts w:ascii="宋体" w:hAnsi="宋体" w:eastAsia="等线" w:cs="Times New Roman"/>
      <w:sz w:val="24"/>
      <w:szCs w:val="24"/>
    </w:rPr>
  </w:style>
  <w:style w:type="paragraph" w:customStyle="1" w:styleId="28">
    <w:name w:val="参数表格"/>
    <w:basedOn w:val="26"/>
    <w:link w:val="29"/>
    <w:qFormat/>
    <w:uiPriority w:val="0"/>
    <w:pPr>
      <w:ind w:firstLine="0" w:firstLineChars="0"/>
    </w:pPr>
  </w:style>
  <w:style w:type="character" w:customStyle="1" w:styleId="29">
    <w:name w:val="参数表格 字符"/>
    <w:basedOn w:val="27"/>
    <w:link w:val="28"/>
    <w:qFormat/>
    <w:uiPriority w:val="0"/>
    <w:rPr>
      <w:rFonts w:ascii="宋体" w:hAnsi="宋体" w:eastAsia="宋体" w:cs="Times New Roman"/>
      <w:sz w:val="24"/>
      <w:szCs w:val="24"/>
    </w:rPr>
  </w:style>
  <w:style w:type="paragraph" w:styleId="30">
    <w:name w:val="List Paragraph"/>
    <w:basedOn w:val="1"/>
    <w:qFormat/>
    <w:uiPriority w:val="34"/>
    <w:pPr>
      <w:ind w:firstLine="420" w:firstLineChars="200"/>
    </w:pPr>
  </w:style>
  <w:style w:type="paragraph" w:customStyle="1" w:styleId="31">
    <w:name w:val="样式1"/>
    <w:basedOn w:val="26"/>
    <w:link w:val="32"/>
    <w:qFormat/>
    <w:uiPriority w:val="0"/>
    <w:pPr>
      <w:numPr>
        <w:ilvl w:val="0"/>
        <w:numId w:val="2"/>
      </w:numPr>
      <w:ind w:firstLine="0" w:firstLineChars="0"/>
    </w:pPr>
    <w:rPr>
      <w:b/>
    </w:rPr>
  </w:style>
  <w:style w:type="character" w:customStyle="1" w:styleId="32">
    <w:name w:val="样式1 字符"/>
    <w:basedOn w:val="27"/>
    <w:link w:val="31"/>
    <w:qFormat/>
    <w:uiPriority w:val="0"/>
    <w:rPr>
      <w:rFonts w:ascii="宋体" w:hAnsi="宋体" w:eastAsia="宋体" w:cs="Times New Roman"/>
      <w:b/>
      <w:sz w:val="24"/>
      <w:szCs w:val="24"/>
    </w:rPr>
  </w:style>
  <w:style w:type="paragraph" w:customStyle="1" w:styleId="33">
    <w:name w:val="A3"/>
    <w:basedOn w:val="4"/>
    <w:link w:val="34"/>
    <w:qFormat/>
    <w:uiPriority w:val="0"/>
    <w:pPr>
      <w:ind w:left="0" w:firstLine="0"/>
      <w:jc w:val="left"/>
    </w:pPr>
    <w:rPr>
      <w:rFonts w:ascii="宋体" w:hAnsi="宋体" w:eastAsia="宋体" w:cs="Times New Roman"/>
      <w:szCs w:val="24"/>
    </w:rPr>
  </w:style>
  <w:style w:type="character" w:customStyle="1" w:styleId="34">
    <w:name w:val="A3 字符"/>
    <w:basedOn w:val="19"/>
    <w:link w:val="33"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35">
    <w:name w:val="页眉 字符"/>
    <w:basedOn w:val="15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5"/>
    <w:link w:val="11"/>
    <w:qFormat/>
    <w:uiPriority w:val="99"/>
    <w:rPr>
      <w:sz w:val="18"/>
      <w:szCs w:val="18"/>
    </w:rPr>
  </w:style>
  <w:style w:type="paragraph" w:customStyle="1" w:styleId="37">
    <w:name w:val="A1"/>
    <w:basedOn w:val="2"/>
    <w:link w:val="39"/>
    <w:qFormat/>
    <w:uiPriority w:val="0"/>
    <w:pPr>
      <w:numPr>
        <w:numId w:val="0"/>
      </w:numPr>
      <w:ind w:left="900" w:hanging="420"/>
      <w:jc w:val="left"/>
    </w:pPr>
    <w:rPr>
      <w:rFonts w:ascii="宋体" w:hAnsi="宋体" w:eastAsia="宋体" w:cs="Times New Roman"/>
      <w:szCs w:val="32"/>
    </w:rPr>
  </w:style>
  <w:style w:type="paragraph" w:customStyle="1" w:styleId="38">
    <w:name w:val="A2"/>
    <w:basedOn w:val="3"/>
    <w:link w:val="40"/>
    <w:qFormat/>
    <w:uiPriority w:val="0"/>
    <w:pPr>
      <w:numPr>
        <w:numId w:val="3"/>
      </w:numPr>
      <w:jc w:val="left"/>
    </w:pPr>
    <w:rPr>
      <w:rFonts w:ascii="宋体" w:hAnsi="宋体" w:eastAsia="宋体" w:cs="Times New Roman"/>
    </w:rPr>
  </w:style>
  <w:style w:type="character" w:customStyle="1" w:styleId="39">
    <w:name w:val="A1 字符"/>
    <w:basedOn w:val="17"/>
    <w:link w:val="37"/>
    <w:qFormat/>
    <w:uiPriority w:val="0"/>
    <w:rPr>
      <w:rFonts w:ascii="宋体" w:hAnsi="宋体" w:eastAsia="宋体" w:cs="Times New Roman"/>
      <w:kern w:val="44"/>
      <w:sz w:val="32"/>
      <w:szCs w:val="32"/>
    </w:rPr>
  </w:style>
  <w:style w:type="character" w:customStyle="1" w:styleId="40">
    <w:name w:val="A2 字符"/>
    <w:basedOn w:val="18"/>
    <w:link w:val="38"/>
    <w:qFormat/>
    <w:uiPriority w:val="0"/>
    <w:rPr>
      <w:rFonts w:ascii="宋体" w:hAnsi="宋体" w:eastAsia="宋体" w:cs="Times New Roman"/>
      <w:sz w:val="32"/>
      <w:szCs w:val="32"/>
    </w:rPr>
  </w:style>
  <w:style w:type="paragraph" w:customStyle="1" w:styleId="41">
    <w:name w:val="样式2"/>
    <w:basedOn w:val="1"/>
    <w:link w:val="42"/>
    <w:qFormat/>
    <w:uiPriority w:val="0"/>
    <w:pPr>
      <w:spacing w:line="360" w:lineRule="auto"/>
    </w:pPr>
    <w:rPr>
      <w:rFonts w:ascii="宋体" w:hAnsi="宋体" w:eastAsia="宋体" w:cs="Times New Roman"/>
      <w:sz w:val="24"/>
      <w:szCs w:val="24"/>
    </w:rPr>
  </w:style>
  <w:style w:type="character" w:customStyle="1" w:styleId="42">
    <w:name w:val="样式2 Char"/>
    <w:link w:val="41"/>
    <w:qFormat/>
    <w:uiPriority w:val="0"/>
    <w:rPr>
      <w:rFonts w:ascii="宋体" w:hAnsi="宋体" w:eastAsia="宋体" w:cs="Times New Roman"/>
      <w:sz w:val="24"/>
      <w:szCs w:val="24"/>
    </w:rPr>
  </w:style>
  <w:style w:type="paragraph" w:customStyle="1" w:styleId="43">
    <w:name w:val="标书正文"/>
    <w:basedOn w:val="1"/>
    <w:link w:val="44"/>
    <w:qFormat/>
    <w:uiPriority w:val="0"/>
    <w:pPr>
      <w:spacing w:line="360" w:lineRule="auto"/>
      <w:ind w:firstLine="480" w:firstLineChars="200"/>
      <w:jc w:val="left"/>
    </w:pPr>
    <w:rPr>
      <w:rFonts w:ascii="宋体" w:hAnsi="宋体" w:eastAsia="宋体" w:cs="Times New Roman"/>
      <w:sz w:val="24"/>
      <w:szCs w:val="24"/>
    </w:rPr>
  </w:style>
  <w:style w:type="character" w:customStyle="1" w:styleId="44">
    <w:name w:val="标书正文 Char"/>
    <w:link w:val="43"/>
    <w:qFormat/>
    <w:uiPriority w:val="0"/>
    <w:rPr>
      <w:rFonts w:ascii="宋体" w:hAnsi="宋体" w:eastAsia="宋体" w:cs="Times New Roman"/>
      <w:sz w:val="24"/>
      <w:szCs w:val="24"/>
    </w:rPr>
  </w:style>
  <w:style w:type="paragraph" w:customStyle="1" w:styleId="45">
    <w:name w:val="2016正文"/>
    <w:basedOn w:val="1"/>
    <w:link w:val="46"/>
    <w:qFormat/>
    <w:uiPriority w:val="0"/>
    <w:pPr>
      <w:spacing w:line="360" w:lineRule="auto"/>
      <w:ind w:firstLine="200" w:firstLineChars="200"/>
    </w:pPr>
    <w:rPr>
      <w:rFonts w:eastAsia="宋体"/>
      <w:sz w:val="28"/>
    </w:rPr>
  </w:style>
  <w:style w:type="character" w:customStyle="1" w:styleId="46">
    <w:name w:val="2016正文 Char"/>
    <w:basedOn w:val="15"/>
    <w:link w:val="45"/>
    <w:qFormat/>
    <w:uiPriority w:val="0"/>
    <w:rPr>
      <w:rFonts w:eastAsia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1033</Words>
  <Characters>1057</Characters>
  <Lines>32</Lines>
  <Paragraphs>9</Paragraphs>
  <TotalTime>1</TotalTime>
  <ScaleCrop>false</ScaleCrop>
  <LinksUpToDate>false</LinksUpToDate>
  <CharactersWithSpaces>1057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2019-02-14T06:34:00Z</dcterms:created>
  <dc:creator>袁明勇</dc:creator>
  <cp:lastModifiedBy>abc</cp:lastModifiedBy>
  <dcterms:modified xsi:type="dcterms:W3CDTF">2022-05-17T03:28:53Z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C062A40D4B2947329F64CA2BD9657F0E</vt:lpwstr>
  </property>
</Properties>
</file>