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医医学影像工作站（骨髓细胞学图像分析系统）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51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可使用专业SQL SERVER数据库等。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系统全面支持视窗平台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支持多流程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自动计算细胞百分比、粒红比、粒系所占比率、红系所占比率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细胞计数仪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具备规范的开放性专业词库模板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可根据多个条件来组合查询或统计病例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高度灵活的报告单设计系统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根据不同的图片张数，报告系统智能匹配模板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报告打印完成后，提供自动审核、发布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批量打印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统计模块</w:t>
      </w:r>
    </w:p>
    <w:p>
      <w:p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将患者的报告以Word文件方式导出，方便医师收集病例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设备名称：悬空式碳纤维骨科牵引架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56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30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一、性能要求：</w:t>
      </w:r>
    </w:p>
    <w:p>
      <w:pPr>
        <w:tabs>
          <w:tab w:val="left" w:pos="420"/>
          <w:tab w:val="left" w:pos="9660"/>
        </w:tabs>
        <w:spacing w:line="300" w:lineRule="auto"/>
        <w:ind w:left="434" w:leftChars="200" w:right="504" w:rightChars="240" w:hanging="14" w:hangingChars="6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（1）牵引外展臂、通用骨盆托板及会阴支杆皆由可透X光的碳纤维材质制成，为C臂的使用创造最大操作空间，保证透视影像不受牵引架的影响; </w:t>
      </w:r>
    </w:p>
    <w:p>
      <w:pPr>
        <w:tabs>
          <w:tab w:val="left" w:pos="420"/>
          <w:tab w:val="left" w:pos="9660"/>
        </w:tabs>
        <w:spacing w:line="300" w:lineRule="auto"/>
        <w:ind w:left="434" w:leftChars="200" w:right="504" w:rightChars="240" w:hanging="14" w:hangingChars="6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（2）附件材质要求为碳纤维材料，对拍片无影响的可采用铝合金，具有防腐蚀、易于清洁保养及消毒;</w:t>
      </w:r>
    </w:p>
    <w:p>
      <w:pPr>
        <w:tabs>
          <w:tab w:val="left" w:pos="420"/>
          <w:tab w:val="left" w:pos="9660"/>
        </w:tabs>
        <w:spacing w:line="300" w:lineRule="auto"/>
        <w:ind w:left="434" w:leftChars="200" w:right="504" w:rightChars="240" w:hanging="14" w:hangingChars="6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（4）牵引架载重＞250 kg;</w:t>
      </w:r>
    </w:p>
    <w:p>
      <w:pPr>
        <w:tabs>
          <w:tab w:val="left" w:pos="420"/>
          <w:tab w:val="left" w:pos="9660"/>
        </w:tabs>
        <w:spacing w:line="300" w:lineRule="auto"/>
        <w:ind w:left="434" w:leftChars="200" w:right="504" w:rightChars="240" w:hanging="14" w:hangingChars="6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（5）全方位两点定位配有精确数字刻度显示，便于医生术中牵引定位;</w:t>
      </w:r>
    </w:p>
    <w:p>
      <w:pPr>
        <w:tabs>
          <w:tab w:val="left" w:pos="420"/>
          <w:tab w:val="left" w:pos="9660"/>
        </w:tabs>
        <w:spacing w:line="300" w:lineRule="auto"/>
        <w:ind w:left="434" w:leftChars="200" w:right="504" w:rightChars="240" w:hanging="14" w:hangingChars="6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（6）旋转关节配有数字指示设计，便于医护人员根据使用经验记录各种手术适当外展臂相对角度，加快病患体位的设置。</w:t>
      </w:r>
    </w:p>
    <w:p>
      <w:pPr>
        <w:tabs>
          <w:tab w:val="left" w:pos="420"/>
          <w:tab w:val="left" w:pos="9660"/>
        </w:tabs>
        <w:spacing w:line="300" w:lineRule="auto"/>
        <w:ind w:left="434" w:leftChars="200" w:right="504" w:rightChars="240" w:hanging="14" w:hangingChars="6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（7）产品</w:t>
      </w:r>
      <w:r>
        <w:rPr>
          <w:rFonts w:hint="eastAsia" w:ascii="宋体" w:hAnsi="宋体" w:cs="宋体"/>
          <w:sz w:val="24"/>
          <w:szCs w:val="24"/>
          <w:lang w:eastAsia="zh-CN"/>
        </w:rPr>
        <w:t>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SFDA、</w:t>
      </w:r>
      <w:r>
        <w:rPr>
          <w:rFonts w:hint="eastAsia" w:ascii="宋体" w:hAnsi="宋体" w:cs="宋体"/>
          <w:sz w:val="24"/>
          <w:szCs w:val="24"/>
        </w:rPr>
        <w:t>CE、FDA、ETL质量认证证书</w:t>
      </w:r>
    </w:p>
    <w:p>
      <w:pPr>
        <w:spacing w:line="300" w:lineRule="auto"/>
        <w:ind w:left="1434" w:leftChars="-35" w:hanging="1507" w:hangingChars="628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二、参数要求：</w:t>
      </w:r>
    </w:p>
    <w:p>
      <w:pPr>
        <w:spacing w:line="300" w:lineRule="auto"/>
        <w:ind w:left="1360" w:leftChars="200" w:hanging="940" w:hangingChars="392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（1）短牵引段外展角度：0-180°；</w:t>
      </w:r>
    </w:p>
    <w:p>
      <w:pPr>
        <w:spacing w:line="300" w:lineRule="auto"/>
        <w:ind w:left="1360" w:leftChars="200" w:hanging="940" w:hangingChars="392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（2）长牵引段外展角度：0-180°；</w:t>
      </w:r>
    </w:p>
    <w:p>
      <w:pPr>
        <w:spacing w:line="300" w:lineRule="auto"/>
        <w:ind w:left="1360" w:leftChars="200" w:hanging="940" w:hangingChars="392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（3）牵引距离≥180mm; </w:t>
      </w:r>
    </w:p>
    <w:p>
      <w:pPr>
        <w:spacing w:line="300" w:lineRule="auto"/>
        <w:ind w:left="1360" w:leftChars="200" w:hanging="940" w:hangingChars="392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（4）高度调整≥4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0mm;</w:t>
      </w:r>
    </w:p>
    <w:p>
      <w:pPr>
        <w:spacing w:line="300" w:lineRule="auto"/>
        <w:ind w:left="1360" w:leftChars="200" w:hanging="940" w:hangingChars="392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（5）延伸段调节长度≥1500mm。</w:t>
      </w:r>
    </w:p>
    <w:p>
      <w:pPr>
        <w:spacing w:line="300" w:lineRule="auto"/>
        <w:ind w:left="1434" w:leftChars="-35" w:hanging="1507" w:hangingChars="628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三、配置要求</w:t>
      </w:r>
      <w:r>
        <w:rPr>
          <w:rFonts w:hint="eastAsia" w:ascii="宋体" w:hAnsi="宋体" w:cs="宋体"/>
          <w:sz w:val="24"/>
          <w:szCs w:val="24"/>
          <w:lang w:eastAsia="zh-CN"/>
        </w:rPr>
        <w:t>（不少于以下配置）</w:t>
      </w:r>
    </w:p>
    <w:tbl>
      <w:tblPr>
        <w:tblStyle w:val="5"/>
        <w:tblpPr w:leftFromText="180" w:rightFromText="180" w:vertAnchor="text" w:horzAnchor="page" w:tblpX="1578" w:tblpY="145"/>
        <w:tblOverlap w:val="never"/>
        <w:tblW w:w="77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2"/>
        <w:gridCol w:w="12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（1）、圆承合器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（2）、碳纤维通用骨盆托板及垫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（3）、碳纤维会阴支杆及护套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（4）、附件固定器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（5）、胫骨&amp;侧姿抗拉支杆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（6）、碳纤外展延伸杆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（7）、牵引器安装基座，插杆式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（8）、末端支撑杆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（9）、牵引器组立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（10）、牵引靴（成人）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（11）、牵引靴保护垫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（12）、托腿靴（左、右各1个）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（13）、牵引架台车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（14）、悬空手架（可上悬、下悬）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）、侧身腰架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）、耻骨支撑架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）、方箝合器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碳纤维运动医学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固定架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640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）、马镫式腿靴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1对</w:t>
            </w:r>
          </w:p>
        </w:tc>
      </w:tr>
    </w:tbl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ind w:left="1358" w:leftChars="200" w:hanging="938" w:hangingChars="391"/>
        <w:jc w:val="left"/>
        <w:rPr>
          <w:rFonts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0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四、其他要求</w:t>
      </w:r>
    </w:p>
    <w:p>
      <w:pPr>
        <w:spacing w:line="300" w:lineRule="auto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/>
          <w:sz w:val="24"/>
          <w:szCs w:val="24"/>
          <w:lang w:eastAsia="zh-CN"/>
        </w:rPr>
        <w:t>碳纤维牵引架</w:t>
      </w:r>
      <w:r>
        <w:rPr>
          <w:rFonts w:hint="eastAsia"/>
          <w:sz w:val="24"/>
          <w:szCs w:val="24"/>
        </w:rPr>
        <w:t>与医院现有手术床</w:t>
      </w:r>
      <w:r>
        <w:rPr>
          <w:rFonts w:hint="eastAsia"/>
          <w:sz w:val="24"/>
          <w:szCs w:val="24"/>
          <w:lang w:eastAsia="zh-CN"/>
        </w:rPr>
        <w:t>匹配，无需另配转接器</w:t>
      </w:r>
      <w:r>
        <w:rPr>
          <w:rFonts w:hint="eastAsia"/>
          <w:sz w:val="24"/>
          <w:szCs w:val="24"/>
        </w:rPr>
        <w:t>；</w:t>
      </w:r>
    </w:p>
    <w:p>
      <w:pPr>
        <w:spacing w:line="30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（2）</w:t>
      </w:r>
      <w:r>
        <w:rPr>
          <w:rFonts w:hint="eastAsia"/>
          <w:sz w:val="24"/>
          <w:szCs w:val="24"/>
        </w:rPr>
        <w:t>碳纤维单杆下肢牵引附件配备齐全，可满足下肢平卧位、侧卧位牵引手术要求，无需另购，并提供碳纤维单杆牵引架配置清单。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设备名称：肺功能检查仪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61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szCs w:val="21"/>
        </w:rPr>
      </w:pPr>
      <w:r>
        <w:rPr>
          <w:rFonts w:hint="eastAsia"/>
          <w:szCs w:val="21"/>
        </w:rPr>
        <w:t>一、主要技术参数：</w:t>
      </w:r>
    </w:p>
    <w:p>
      <w:pPr>
        <w:rPr>
          <w:szCs w:val="21"/>
        </w:rPr>
      </w:pPr>
      <w:r>
        <w:rPr>
          <w:rFonts w:hint="eastAsia"/>
          <w:szCs w:val="21"/>
        </w:rPr>
        <w:t>1.传感器技术：抗菌过滤一体的铂-铑合金热丝式双向流速传感器；</w:t>
      </w:r>
    </w:p>
    <w:p>
      <w:pPr>
        <w:rPr>
          <w:szCs w:val="21"/>
        </w:rPr>
      </w:pPr>
      <w:r>
        <w:rPr>
          <w:rFonts w:hint="eastAsia"/>
          <w:szCs w:val="21"/>
        </w:rPr>
        <w:t>2.流速测量范围：0-14L/S；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3.容量精确度：±3%或50毫升 </w:t>
      </w:r>
    </w:p>
    <w:p>
      <w:pPr>
        <w:rPr>
          <w:szCs w:val="21"/>
        </w:rPr>
      </w:pPr>
      <w:r>
        <w:rPr>
          <w:rFonts w:hint="eastAsia"/>
          <w:szCs w:val="21"/>
        </w:rPr>
        <w:t>4.中国人种专用预计值公式：EUROPE，BALDWIN，BEIJING，LAM-CHINA。</w:t>
      </w:r>
    </w:p>
    <w:p>
      <w:pPr>
        <w:rPr>
          <w:szCs w:val="21"/>
        </w:rPr>
      </w:pPr>
      <w:r>
        <w:rPr>
          <w:rFonts w:hint="eastAsia"/>
          <w:szCs w:val="21"/>
        </w:rPr>
        <w:t>5.直接显示慢阻肺（COPD）病期分类结果</w:t>
      </w:r>
    </w:p>
    <w:p>
      <w:pPr>
        <w:rPr>
          <w:szCs w:val="21"/>
        </w:rPr>
      </w:pPr>
      <w:r>
        <w:rPr>
          <w:rFonts w:hint="eastAsia"/>
          <w:szCs w:val="21"/>
        </w:rPr>
        <w:t>6.自带热敏打印机，四种以上图文并茂报告格式。</w:t>
      </w:r>
    </w:p>
    <w:p>
      <w:pPr>
        <w:rPr>
          <w:szCs w:val="21"/>
        </w:rPr>
      </w:pPr>
      <w:r>
        <w:rPr>
          <w:rFonts w:hint="eastAsia"/>
          <w:szCs w:val="21"/>
        </w:rPr>
        <w:t>7.液晶显示：≧5 英寸彩色液晶触摸屏,显示清晰，操作简单</w:t>
      </w:r>
    </w:p>
    <w:p>
      <w:pPr>
        <w:rPr>
          <w:szCs w:val="21"/>
        </w:rPr>
      </w:pPr>
      <w:r>
        <w:rPr>
          <w:rFonts w:hint="eastAsia"/>
          <w:szCs w:val="21"/>
        </w:rPr>
        <w:t>二、主要测定项目：</w:t>
      </w:r>
    </w:p>
    <w:p>
      <w:pPr>
        <w:rPr>
          <w:szCs w:val="21"/>
        </w:rPr>
      </w:pPr>
      <w:r>
        <w:rPr>
          <w:rFonts w:hint="eastAsia"/>
          <w:szCs w:val="21"/>
        </w:rPr>
        <w:t>1、用力肺活量(FVC)：FVC，FEV1.0，FEV1.0%，PEFR，MMF等项目</w:t>
      </w:r>
    </w:p>
    <w:p>
      <w:pPr>
        <w:rPr>
          <w:szCs w:val="21"/>
        </w:rPr>
      </w:pPr>
      <w:r>
        <w:rPr>
          <w:rFonts w:hint="eastAsia"/>
          <w:szCs w:val="21"/>
        </w:rPr>
        <w:t>2、肺器官年龄值</w:t>
      </w:r>
    </w:p>
    <w:p>
      <w:pPr>
        <w:rPr>
          <w:szCs w:val="21"/>
        </w:rPr>
      </w:pPr>
      <w:r>
        <w:rPr>
          <w:rFonts w:hint="eastAsia"/>
          <w:szCs w:val="21"/>
        </w:rPr>
        <w:t>3、肺活量(VC/SVC)：VC，TV，IRV，ERV，IC，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4、输入FRC 值后，可测出RV（残气量），FRC（功能残气量），TLC（肺总量），RV/TLC 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5、每分钟通气量(MV)：MV，RR，TV </w:t>
      </w:r>
    </w:p>
    <w:p>
      <w:pPr>
        <w:rPr>
          <w:szCs w:val="21"/>
        </w:rPr>
      </w:pPr>
      <w:r>
        <w:rPr>
          <w:rFonts w:hint="eastAsia"/>
          <w:szCs w:val="21"/>
        </w:rPr>
        <w:t>6、每分钟最大通气量(MVV)： MVV，BSA，MVV/BSA，RR，TV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  <w:szCs w:val="21"/>
        </w:rPr>
        <w:t>7、支气管扩张试验（BD）： VC/SVC，FVC，MVV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设备名称：全自动糖化血红蛋白分析仪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68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cs="宋体"/>
          <w:b/>
          <w:sz w:val="28"/>
          <w:szCs w:val="28"/>
          <w:lang w:bidi="ar"/>
        </w:rPr>
        <w:t>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分析原理：离子交换高效液相色谱（HPLC）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自动化：无需样本预处理，系统自动识别样本类型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吸样方法：样本管帽穿刺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测定项目：HbA1c,HbA1,HbF等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检测速度：批量测试为≥50 测试/小时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稀释能力：机内自动稀释，机外手动稀释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条码扫读：自动识别样品管条码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firstLine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载样方式：可连续上样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560F9"/>
    <w:multiLevelType w:val="multilevel"/>
    <w:tmpl w:val="23D560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30310C"/>
    <w:multiLevelType w:val="multilevel"/>
    <w:tmpl w:val="2A3031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24950AE"/>
    <w:rsid w:val="2D257878"/>
    <w:rsid w:val="4BC250E2"/>
    <w:rsid w:val="51F30A22"/>
    <w:rsid w:val="5372623C"/>
    <w:rsid w:val="6B6508C9"/>
    <w:rsid w:val="74B8427F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1673</Characters>
  <Lines>10</Lines>
  <Paragraphs>2</Paragraphs>
  <TotalTime>2</TotalTime>
  <ScaleCrop>false</ScaleCrop>
  <LinksUpToDate>false</LinksUpToDate>
  <CharactersWithSpaces>1700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2022-04-15T04:24:00Z</cp:lastPrinted>
  <dcterms:modified xsi:type="dcterms:W3CDTF">2022-05-24T04:23:01Z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