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hint="eastAsia" w:ascii="微软雅黑" w:hAnsi="微软雅黑" w:eastAsia="微软雅黑"/>
          <w:sz w:val="44"/>
          <w:lang w:eastAsia="zh-CN"/>
        </w:rPr>
      </w:pPr>
      <w:r>
        <w:rPr>
          <w:rFonts w:hint="eastAsia" w:ascii="微软雅黑" w:hAnsi="微软雅黑" w:eastAsia="微软雅黑"/>
          <w:sz w:val="44"/>
          <w:lang w:eastAsia="zh-CN"/>
        </w:rPr>
        <w:t>重</w:t>
      </w:r>
      <w:r>
        <w:rPr>
          <w:rFonts w:hint="eastAsia" w:ascii="微软雅黑" w:hAnsi="微软雅黑" w:eastAsia="微软雅黑"/>
          <w:sz w:val="44"/>
        </w:rPr>
        <w:t>症</w:t>
      </w:r>
      <w:r>
        <w:rPr>
          <w:rFonts w:hint="eastAsia" w:ascii="微软雅黑" w:hAnsi="微软雅黑" w:eastAsia="微软雅黑"/>
          <w:sz w:val="44"/>
          <w:lang w:eastAsia="zh-CN"/>
        </w:rPr>
        <w:t>系统采购需求</w:t>
      </w:r>
    </w:p>
    <w:p>
      <w:pPr>
        <w:rPr>
          <w:rFonts w:hint="eastAsia" w:ascii="华文仿宋" w:hAnsi="华文仿宋" w:eastAsia="华文仿宋" w:cstheme="majorBidi"/>
          <w:b/>
          <w:bCs/>
          <w:kern w:val="2"/>
          <w:sz w:val="32"/>
          <w:szCs w:val="32"/>
          <w:lang w:val="en-US" w:eastAsia="zh-CN" w:bidi="ar-SA"/>
        </w:rPr>
      </w:pPr>
      <w:r>
        <w:rPr>
          <w:rFonts w:hint="eastAsia" w:ascii="华文仿宋" w:hAnsi="华文仿宋" w:eastAsia="华文仿宋" w:cstheme="majorBidi"/>
          <w:b/>
          <w:bCs/>
          <w:kern w:val="2"/>
          <w:sz w:val="32"/>
          <w:szCs w:val="32"/>
          <w:lang w:val="en-US" w:eastAsia="zh-CN" w:bidi="ar-SA"/>
        </w:rPr>
        <w:t>我院综合重症医学科共有标准床位22个，需满足至少22个床位管理、监测、数据采集要求。</w:t>
      </w:r>
    </w:p>
    <w:p>
      <w:pPr>
        <w:rPr>
          <w:rFonts w:hint="eastAsia" w:ascii="华文仿宋" w:hAnsi="华文仿宋" w:eastAsia="华文仿宋" w:cstheme="majorBidi"/>
          <w:b/>
          <w:bCs/>
          <w:kern w:val="2"/>
          <w:sz w:val="32"/>
          <w:szCs w:val="32"/>
          <w:lang w:val="en-US" w:eastAsia="zh-CN" w:bidi="ar-SA"/>
        </w:rPr>
      </w:pPr>
    </w:p>
    <w:p>
      <w:pPr>
        <w:pStyle w:val="39"/>
        <w:spacing w:before="0" w:after="0" w:line="360" w:lineRule="auto"/>
        <w:jc w:val="both"/>
        <w:rPr>
          <w:rFonts w:hint="eastAsia" w:ascii="宋体" w:hAnsi="宋体" w:cs="宋体"/>
          <w:b/>
          <w:bCs w:val="0"/>
          <w:sz w:val="21"/>
          <w:szCs w:val="21"/>
        </w:rPr>
      </w:pPr>
      <w:r>
        <w:rPr>
          <w:rFonts w:hint="eastAsia" w:ascii="宋体" w:hAnsi="宋体" w:cs="宋体"/>
          <w:b/>
          <w:bCs w:val="0"/>
          <w:sz w:val="21"/>
          <w:szCs w:val="21"/>
        </w:rPr>
        <w:t>基本需求</w:t>
      </w:r>
    </w:p>
    <w:p>
      <w:pPr>
        <w:tabs>
          <w:tab w:val="left" w:pos="180"/>
          <w:tab w:val="left" w:pos="1620"/>
        </w:tabs>
        <w:spacing w:line="360" w:lineRule="auto"/>
        <w:ind w:firstLine="420" w:firstLineChars="200"/>
        <w:rPr>
          <w:rFonts w:hint="eastAsia" w:ascii="宋体" w:hAnsi="宋体" w:cs="宋体"/>
          <w:szCs w:val="21"/>
        </w:rPr>
      </w:pPr>
      <w:r>
        <w:rPr>
          <w:rFonts w:hint="eastAsia" w:ascii="宋体" w:hAnsi="宋体" w:cs="宋体"/>
          <w:bCs/>
          <w:szCs w:val="21"/>
        </w:rPr>
        <w:t>（1）满足电子病历</w:t>
      </w:r>
      <w:r>
        <w:rPr>
          <w:rFonts w:hint="eastAsia" w:ascii="宋体" w:hAnsi="宋体" w:cs="宋体"/>
          <w:bCs/>
          <w:szCs w:val="21"/>
          <w:lang w:val="en-US" w:eastAsia="zh-CN"/>
        </w:rPr>
        <w:t>六</w:t>
      </w:r>
      <w:r>
        <w:rPr>
          <w:rFonts w:hint="eastAsia" w:ascii="宋体" w:hAnsi="宋体" w:cs="宋体"/>
          <w:bCs/>
          <w:szCs w:val="21"/>
        </w:rPr>
        <w:t>级、互联互通四甲、等保三级、医院智慧化服务二级对系统功能的要求。</w:t>
      </w:r>
    </w:p>
    <w:p>
      <w:pPr>
        <w:tabs>
          <w:tab w:val="left" w:pos="180"/>
          <w:tab w:val="left" w:pos="1620"/>
        </w:tabs>
        <w:spacing w:line="360" w:lineRule="auto"/>
        <w:ind w:firstLine="420" w:firstLineChars="200"/>
        <w:rPr>
          <w:rFonts w:hint="eastAsia" w:ascii="宋体" w:hAnsi="宋体" w:cs="宋体"/>
          <w:bCs/>
          <w:szCs w:val="21"/>
        </w:rPr>
      </w:pPr>
      <w:r>
        <w:rPr>
          <w:rFonts w:hint="eastAsia" w:ascii="宋体" w:hAnsi="宋体" w:cs="宋体"/>
          <w:bCs/>
          <w:szCs w:val="21"/>
        </w:rPr>
        <w:t>（2）在不违反国家规范的前提下，满足根据科室使用情况更改或添加新功能的需求。</w:t>
      </w:r>
    </w:p>
    <w:p>
      <w:pPr>
        <w:tabs>
          <w:tab w:val="left" w:pos="180"/>
          <w:tab w:val="left" w:pos="1620"/>
        </w:tabs>
        <w:spacing w:line="360" w:lineRule="auto"/>
        <w:ind w:firstLine="420" w:firstLineChars="200"/>
        <w:rPr>
          <w:rFonts w:hint="eastAsia" w:ascii="宋体" w:hAnsi="宋体" w:cs="宋体"/>
          <w:bCs/>
          <w:szCs w:val="21"/>
        </w:rPr>
      </w:pPr>
      <w:r>
        <w:rPr>
          <w:rFonts w:hint="eastAsia" w:ascii="宋体" w:hAnsi="宋体" w:cs="宋体"/>
          <w:bCs/>
          <w:szCs w:val="21"/>
        </w:rPr>
        <w:t>（3）开放式系统设计结构，提供</w:t>
      </w:r>
      <w:r>
        <w:rPr>
          <w:rFonts w:hint="eastAsia" w:ascii="宋体" w:hAnsi="宋体" w:cs="宋体"/>
          <w:bCs/>
          <w:szCs w:val="21"/>
          <w:lang w:val="en-US" w:eastAsia="zh-CN"/>
        </w:rPr>
        <w:t>重症</w:t>
      </w:r>
      <w:r>
        <w:rPr>
          <w:rFonts w:hint="eastAsia" w:ascii="宋体" w:hAnsi="宋体" w:cs="宋体"/>
          <w:bCs/>
          <w:szCs w:val="21"/>
        </w:rPr>
        <w:t>相关全套功能，能够满足智慧医院不同需求。</w:t>
      </w:r>
    </w:p>
    <w:p>
      <w:pPr>
        <w:tabs>
          <w:tab w:val="left" w:pos="180"/>
          <w:tab w:val="left" w:pos="1620"/>
        </w:tabs>
        <w:spacing w:line="360" w:lineRule="auto"/>
        <w:ind w:firstLine="420" w:firstLineChars="200"/>
        <w:rPr>
          <w:rFonts w:hint="eastAsia" w:ascii="宋体" w:hAnsi="宋体" w:cs="宋体"/>
          <w:bCs/>
          <w:szCs w:val="21"/>
        </w:rPr>
      </w:pPr>
      <w:r>
        <w:rPr>
          <w:rFonts w:hint="eastAsia" w:ascii="宋体" w:hAnsi="宋体" w:cs="宋体"/>
          <w:bCs/>
          <w:szCs w:val="21"/>
        </w:rPr>
        <w:t>（4）借助条码、二维码</w:t>
      </w:r>
      <w:r>
        <w:rPr>
          <w:rFonts w:hint="eastAsia" w:ascii="宋体" w:hAnsi="宋体" w:cs="宋体"/>
          <w:bCs/>
          <w:szCs w:val="21"/>
          <w:lang w:eastAsia="zh-CN"/>
        </w:rPr>
        <w:t>、</w:t>
      </w:r>
      <w:r>
        <w:rPr>
          <w:rFonts w:hint="eastAsia" w:ascii="宋体" w:hAnsi="宋体" w:cs="宋体"/>
          <w:bCs/>
          <w:szCs w:val="21"/>
          <w:lang w:val="en-US" w:eastAsia="zh-CN"/>
        </w:rPr>
        <w:t>PDF</w:t>
      </w:r>
      <w:r>
        <w:rPr>
          <w:rFonts w:hint="eastAsia" w:ascii="宋体" w:hAnsi="宋体" w:cs="宋体"/>
          <w:bCs/>
          <w:szCs w:val="21"/>
        </w:rPr>
        <w:t>等技术，实现无纸化管理。</w:t>
      </w:r>
    </w:p>
    <w:p>
      <w:pPr>
        <w:tabs>
          <w:tab w:val="left" w:pos="180"/>
          <w:tab w:val="left" w:pos="1620"/>
        </w:tabs>
        <w:spacing w:line="360" w:lineRule="auto"/>
        <w:ind w:firstLine="420" w:firstLineChars="200"/>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）具备综合性数据分析统计功能，可以导出多种格式的标准化分析报告，可进行各种疾病、费用、工作量等数据统计，并且以表格和图形两种方式显示统计数据。</w:t>
      </w:r>
    </w:p>
    <w:p>
      <w:pPr>
        <w:rPr>
          <w:rFonts w:hint="default" w:ascii="华文仿宋" w:hAnsi="华文仿宋" w:eastAsia="华文仿宋" w:cstheme="majorBidi"/>
          <w:b/>
          <w:bCs/>
          <w:kern w:val="2"/>
          <w:sz w:val="32"/>
          <w:szCs w:val="32"/>
          <w:lang w:val="en-US" w:eastAsia="zh-CN" w:bidi="ar-SA"/>
        </w:rPr>
      </w:pPr>
    </w:p>
    <w:p>
      <w:pPr>
        <w:pStyle w:val="3"/>
        <w:ind w:firstLine="0"/>
      </w:pPr>
      <w:r>
        <w:rPr>
          <w:rFonts w:hint="eastAsia"/>
        </w:rPr>
        <w:t>1、患者接收记录</w:t>
      </w:r>
    </w:p>
    <w:p>
      <w:pPr>
        <w:pStyle w:val="27"/>
        <w:numPr>
          <w:ilvl w:val="0"/>
          <w:numId w:val="2"/>
        </w:numPr>
      </w:pPr>
      <w:r>
        <w:rPr>
          <w:rFonts w:hint="eastAsia"/>
        </w:rPr>
        <w:t>系统支持</w:t>
      </w:r>
      <w:r>
        <w:t>同步HIS中的待入科患者列表，包括患者基本信息、来源科室、诊断，方便护士进行入科操作。</w:t>
      </w:r>
      <w:r>
        <w:rPr>
          <w:rFonts w:hint="eastAsia"/>
        </w:rPr>
        <w:t>并支持HIS信息导入和扫码便捷入科的操作方式。</w:t>
      </w:r>
    </w:p>
    <w:p>
      <w:pPr>
        <w:pStyle w:val="27"/>
        <w:numPr>
          <w:ilvl w:val="0"/>
          <w:numId w:val="2"/>
        </w:numPr>
      </w:pPr>
      <w:r>
        <w:rPr>
          <w:rFonts w:hint="eastAsia"/>
        </w:rPr>
        <w:t>系统能够</w:t>
      </w:r>
      <w:r>
        <w:t>自动提取患者入科信息，对必填信息如身高、体重进行输入检查，支持手工补充或修改患者信息。</w:t>
      </w:r>
    </w:p>
    <w:p>
      <w:pPr>
        <w:pStyle w:val="27"/>
        <w:numPr>
          <w:ilvl w:val="0"/>
          <w:numId w:val="2"/>
        </w:numPr>
      </w:pPr>
      <w:r>
        <w:rPr>
          <w:rFonts w:hint="eastAsia"/>
        </w:rPr>
        <w:t>医护人员</w:t>
      </w:r>
      <w:r>
        <w:t>可以对</w:t>
      </w:r>
      <w:r>
        <w:rPr>
          <w:rFonts w:hint="eastAsia"/>
        </w:rPr>
        <w:t>急诊</w:t>
      </w:r>
      <w:r>
        <w:t>临时转入患者进行紧急入科操作，保证</w:t>
      </w:r>
      <w:r>
        <w:rPr>
          <w:rFonts w:hint="eastAsia"/>
        </w:rPr>
        <w:t>紧急入科信息与患者真实信息的</w:t>
      </w:r>
      <w:r>
        <w:t>一致性。</w:t>
      </w:r>
    </w:p>
    <w:p>
      <w:pPr>
        <w:pStyle w:val="27"/>
        <w:numPr>
          <w:ilvl w:val="0"/>
          <w:numId w:val="2"/>
        </w:numPr>
      </w:pPr>
      <w:r>
        <w:rPr>
          <w:rFonts w:hint="eastAsia"/>
        </w:rPr>
        <w:t>在待入科列表中系统提供“取消入科”的操作，并支持录入“取消入科”的原因。</w:t>
      </w:r>
    </w:p>
    <w:p>
      <w:pPr>
        <w:pStyle w:val="3"/>
        <w:ind w:firstLine="0"/>
      </w:pPr>
      <w:r>
        <w:rPr>
          <w:rFonts w:hint="eastAsia"/>
        </w:rPr>
        <w:t>2、患者信息标识</w:t>
      </w:r>
    </w:p>
    <w:p>
      <w:pPr>
        <w:pStyle w:val="27"/>
        <w:numPr>
          <w:ilvl w:val="0"/>
          <w:numId w:val="3"/>
        </w:numPr>
      </w:pPr>
      <w:r>
        <w:rPr>
          <w:rFonts w:hint="eastAsia"/>
        </w:rPr>
        <w:t>系统支持医护人员对不同患者的病情现状提供标注载体，如：危重等级、危急值、评分情况、患者流转状态、设备使用情况的信息。鼠标移至标注处自动弹出具体的标注信息，方便医护人员快速查看。</w:t>
      </w:r>
    </w:p>
    <w:p>
      <w:pPr>
        <w:pStyle w:val="27"/>
        <w:numPr>
          <w:ilvl w:val="0"/>
          <w:numId w:val="3"/>
        </w:numPr>
      </w:pPr>
      <w:r>
        <w:rPr>
          <w:rFonts w:hint="eastAsia"/>
        </w:rPr>
        <w:t>系统支持对床位状态提供标注，如床位预约、隔离床位信息。</w:t>
      </w:r>
    </w:p>
    <w:p>
      <w:pPr>
        <w:pStyle w:val="27"/>
        <w:numPr>
          <w:ilvl w:val="0"/>
          <w:numId w:val="3"/>
        </w:numPr>
      </w:pPr>
      <w:r>
        <w:rPr>
          <w:rFonts w:hint="eastAsia"/>
        </w:rPr>
        <w:t>系统支持标识患者的重点关注事项，如梅毒、乙肝、精神问题或是否</w:t>
      </w:r>
      <w:r>
        <w:t>VIP</w:t>
      </w:r>
      <w:r>
        <w:rPr>
          <w:rFonts w:hint="eastAsia"/>
        </w:rPr>
        <w:t>，</w:t>
      </w:r>
      <w:r>
        <w:t>提醒医护人员注意。</w:t>
      </w:r>
    </w:p>
    <w:p>
      <w:pPr>
        <w:pStyle w:val="3"/>
        <w:ind w:firstLine="0"/>
      </w:pPr>
      <w:r>
        <w:rPr>
          <w:rFonts w:hint="eastAsia"/>
        </w:rPr>
        <w:t>3、患者床位一览</w:t>
      </w:r>
    </w:p>
    <w:p>
      <w:pPr>
        <w:pStyle w:val="27"/>
        <w:numPr>
          <w:ilvl w:val="0"/>
          <w:numId w:val="4"/>
        </w:numPr>
      </w:pPr>
      <w:r>
        <w:rPr>
          <w:rFonts w:hint="eastAsia"/>
        </w:rPr>
        <w:t>系统提供床头卡或列表形式显示所有患者的基本信息、诊断信息和病情危重情况，为医护人员提供方便、直观、清晰的查看和操作方式。</w:t>
      </w:r>
    </w:p>
    <w:p>
      <w:pPr>
        <w:pStyle w:val="27"/>
        <w:numPr>
          <w:ilvl w:val="0"/>
          <w:numId w:val="4"/>
        </w:numPr>
      </w:pPr>
      <w:r>
        <w:rPr>
          <w:rFonts w:hint="eastAsia"/>
        </w:rPr>
        <w:t>系统支持以柱状图等多种图形化的方式显示当前在科患者的主要专科评分、病情危重程度、呼吸支持的统计情况，并能实现图形与床卡的动态关联，医护人员可根据需要观察的内容自由切换。</w:t>
      </w:r>
    </w:p>
    <w:p>
      <w:pPr>
        <w:pStyle w:val="27"/>
        <w:numPr>
          <w:ilvl w:val="0"/>
          <w:numId w:val="4"/>
        </w:numPr>
      </w:pPr>
      <w:r>
        <w:rPr>
          <w:rFonts w:hint="eastAsia"/>
        </w:rPr>
        <w:t>系统提供患者重要标签显示，可根据标签</w:t>
      </w:r>
      <w:r>
        <w:t>快速</w:t>
      </w:r>
      <w:r>
        <w:rPr>
          <w:rFonts w:hint="eastAsia"/>
        </w:rPr>
        <w:t>筛选</w:t>
      </w:r>
      <w:r>
        <w:t>患者</w:t>
      </w:r>
      <w:r>
        <w:rPr>
          <w:rFonts w:hint="eastAsia"/>
        </w:rPr>
        <w:t>，</w:t>
      </w:r>
      <w:r>
        <w:t>如：</w:t>
      </w:r>
      <w:r>
        <w:rPr>
          <w:rFonts w:hint="eastAsia"/>
        </w:rPr>
        <w:t>新入科患者、发现危急值、使用呼吸机、导管。</w:t>
      </w:r>
    </w:p>
    <w:p>
      <w:pPr>
        <w:pStyle w:val="27"/>
        <w:numPr>
          <w:ilvl w:val="0"/>
          <w:numId w:val="4"/>
        </w:numPr>
      </w:pPr>
      <w:r>
        <w:rPr>
          <w:rFonts w:hint="eastAsia"/>
        </w:rPr>
        <w:t>系统可根据当前登录医护人员的管床情况显示所管辖的患者信息。</w:t>
      </w:r>
    </w:p>
    <w:p>
      <w:pPr>
        <w:pStyle w:val="27"/>
        <w:numPr>
          <w:ilvl w:val="0"/>
          <w:numId w:val="4"/>
        </w:numPr>
      </w:pPr>
      <w:r>
        <w:rPr>
          <w:rFonts w:hint="eastAsia"/>
        </w:rPr>
        <w:t>系统支持医护人员对床位性质进行维护，是否隔离床位、是否正负压隔离提供所管床位的患者列表查看；提供床位编制属性维护。</w:t>
      </w:r>
    </w:p>
    <w:p>
      <w:pPr>
        <w:pStyle w:val="27"/>
        <w:numPr>
          <w:ilvl w:val="0"/>
          <w:numId w:val="4"/>
        </w:numPr>
      </w:pPr>
      <w:r>
        <w:rPr>
          <w:rFonts w:hint="eastAsia" w:cstheme="minorBidi"/>
          <w:szCs w:val="22"/>
        </w:rPr>
        <w:t>系统</w:t>
      </w:r>
      <w:r>
        <w:rPr>
          <w:rFonts w:hint="eastAsia"/>
        </w:rPr>
        <w:t>提供用户自主进行床位与监护设备关联操作，建立监护设备采集数据与患者信息关联通道；支持使用拖拽方式方便地将设备分配到对应的床旁或解除关联。</w:t>
      </w:r>
    </w:p>
    <w:p>
      <w:pPr>
        <w:pStyle w:val="27"/>
        <w:numPr>
          <w:ilvl w:val="0"/>
          <w:numId w:val="4"/>
        </w:numPr>
      </w:pPr>
      <w:r>
        <w:rPr>
          <w:rFonts w:hint="eastAsia"/>
        </w:rPr>
        <w:t>系统提供与患者、床位相关的各类信息录入快捷入口。</w:t>
      </w:r>
    </w:p>
    <w:p>
      <w:pPr>
        <w:pStyle w:val="3"/>
        <w:ind w:firstLine="0"/>
      </w:pPr>
      <w:r>
        <w:rPr>
          <w:rFonts w:hint="eastAsia"/>
        </w:rPr>
        <w:t>4、患者出科登记</w:t>
      </w:r>
      <w:r>
        <w:tab/>
      </w:r>
    </w:p>
    <w:p>
      <w:pPr>
        <w:pStyle w:val="27"/>
        <w:numPr>
          <w:ilvl w:val="0"/>
          <w:numId w:val="5"/>
        </w:numPr>
      </w:pPr>
      <w:r>
        <w:rPr>
          <w:rFonts w:hint="eastAsia"/>
        </w:rPr>
        <w:t>系统</w:t>
      </w:r>
      <w:r>
        <w:t>能够快速汇总待出科患者的交接信息，包括患者基本信息、诊断、生命体征、出入量、管路情况、用药及其它处置、注明出科性质、出科去向，根据需要生成出科记录单。</w:t>
      </w:r>
    </w:p>
    <w:p>
      <w:pPr>
        <w:pStyle w:val="27"/>
        <w:numPr>
          <w:ilvl w:val="0"/>
          <w:numId w:val="5"/>
        </w:numPr>
      </w:pPr>
      <w:r>
        <w:rPr>
          <w:rFonts w:hint="eastAsia"/>
        </w:rPr>
        <w:t>▲系统</w:t>
      </w:r>
      <w:r>
        <w:t>能够对待出科患者进行病情记录的完整性检查，包括是否有未停止医嘱、未执行的拔管记录，能够及时提醒医护人员做好患者出科准备。</w:t>
      </w:r>
    </w:p>
    <w:p>
      <w:pPr>
        <w:pStyle w:val="27"/>
        <w:numPr>
          <w:ilvl w:val="0"/>
          <w:numId w:val="5"/>
        </w:numPr>
      </w:pPr>
      <w:r>
        <w:t>对于临时出科患者，如外出检查，</w:t>
      </w:r>
      <w:r>
        <w:rPr>
          <w:rFonts w:hint="eastAsia"/>
        </w:rPr>
        <w:t>系统</w:t>
      </w:r>
      <w:r>
        <w:t>提供科内召回功能，保证患者数据的连贯性。</w:t>
      </w:r>
    </w:p>
    <w:p>
      <w:pPr>
        <w:pStyle w:val="3"/>
        <w:ind w:firstLine="0"/>
      </w:pPr>
      <w:r>
        <w:rPr>
          <w:rFonts w:hint="eastAsia"/>
        </w:rPr>
        <w:t>5、患者流转记录</w:t>
      </w:r>
      <w:r>
        <w:tab/>
      </w:r>
    </w:p>
    <w:p>
      <w:pPr>
        <w:pStyle w:val="27"/>
        <w:numPr>
          <w:ilvl w:val="0"/>
          <w:numId w:val="6"/>
        </w:numPr>
      </w:pPr>
      <w:r>
        <w:rPr>
          <w:rFonts w:hint="eastAsia"/>
        </w:rPr>
        <w:t>系统</w:t>
      </w:r>
      <w:r>
        <w:t>提供对患者流转过程的记录，包括入院、手术、入科。</w:t>
      </w:r>
    </w:p>
    <w:p>
      <w:pPr>
        <w:pStyle w:val="27"/>
        <w:numPr>
          <w:ilvl w:val="0"/>
          <w:numId w:val="6"/>
        </w:numPr>
      </w:pPr>
      <w:r>
        <w:rPr>
          <w:rFonts w:hint="eastAsia"/>
        </w:rPr>
        <w:t>系统提供对在床患者进行转床，自动将之前的数据带入，保证患者数据的连贯性。</w:t>
      </w:r>
    </w:p>
    <w:p>
      <w:pPr>
        <w:pStyle w:val="27"/>
        <w:numPr>
          <w:ilvl w:val="0"/>
          <w:numId w:val="6"/>
        </w:numPr>
      </w:pPr>
      <w:r>
        <w:rPr>
          <w:rFonts w:hint="eastAsia"/>
        </w:rPr>
        <w:t>系统支持对流转过程数据进行修正。</w:t>
      </w:r>
    </w:p>
    <w:p>
      <w:pPr>
        <w:pStyle w:val="27"/>
        <w:numPr>
          <w:ilvl w:val="0"/>
          <w:numId w:val="6"/>
        </w:numPr>
      </w:pPr>
      <w:r>
        <w:rPr>
          <w:rFonts w:hint="eastAsia"/>
        </w:rPr>
        <w:t>医护人员能够对患者进行快速转床或出科操作。</w:t>
      </w:r>
    </w:p>
    <w:p>
      <w:pPr>
        <w:pStyle w:val="27"/>
        <w:numPr>
          <w:ilvl w:val="0"/>
          <w:numId w:val="6"/>
        </w:numPr>
      </w:pPr>
      <w:r>
        <w:rPr>
          <w:rFonts w:hint="eastAsia"/>
        </w:rPr>
        <w:t>系统支持医护人员对患者床位互换的操作。</w:t>
      </w:r>
    </w:p>
    <w:p>
      <w:pPr>
        <w:pStyle w:val="27"/>
        <w:numPr>
          <w:ilvl w:val="0"/>
          <w:numId w:val="6"/>
        </w:numPr>
      </w:pPr>
      <w:r>
        <w:rPr>
          <w:rFonts w:hint="eastAsia"/>
        </w:rPr>
        <w:t>系统可提供历史床位变更信息的记录，便于医护人员对转床信息的追溯。</w:t>
      </w:r>
    </w:p>
    <w:p>
      <w:pPr>
        <w:pStyle w:val="27"/>
        <w:numPr>
          <w:ilvl w:val="0"/>
          <w:numId w:val="6"/>
        </w:numPr>
      </w:pPr>
      <w:r>
        <w:rPr>
          <w:rFonts w:hint="eastAsia"/>
        </w:rPr>
        <w:t>系统支持患者出科检查，包括：未执行完成的医嘱、设备的解绑、特护单未归档检查。</w:t>
      </w:r>
    </w:p>
    <w:p>
      <w:pPr>
        <w:pStyle w:val="3"/>
        <w:ind w:firstLine="0"/>
      </w:pPr>
      <w:r>
        <w:rPr>
          <w:rFonts w:hint="eastAsia"/>
        </w:rPr>
        <w:t>6、手术信息记录</w:t>
      </w:r>
      <w:r>
        <w:tab/>
      </w:r>
    </w:p>
    <w:p>
      <w:pPr>
        <w:pStyle w:val="27"/>
        <w:numPr>
          <w:ilvl w:val="0"/>
          <w:numId w:val="7"/>
        </w:numPr>
      </w:pPr>
      <w:r>
        <w:rPr>
          <w:rFonts w:hint="eastAsia"/>
        </w:rPr>
        <w:t>系统支持从手麻系统或H</w:t>
      </w:r>
      <w:r>
        <w:t>IS同步患者手术信息，包括</w:t>
      </w:r>
      <w:r>
        <w:rPr>
          <w:rFonts w:hint="eastAsia"/>
        </w:rPr>
        <w:t>手术名称、手术时间。</w:t>
      </w:r>
    </w:p>
    <w:p>
      <w:pPr>
        <w:pStyle w:val="27"/>
        <w:numPr>
          <w:ilvl w:val="0"/>
          <w:numId w:val="7"/>
        </w:numPr>
      </w:pPr>
      <w:r>
        <w:rPr>
          <w:rFonts w:hint="eastAsia"/>
        </w:rPr>
        <w:t>医护人员可以对手术记录进行</w:t>
      </w:r>
      <w:r>
        <w:t>手</w:t>
      </w:r>
      <w:r>
        <w:rPr>
          <w:rFonts w:hint="eastAsia"/>
        </w:rPr>
        <w:t>动</w:t>
      </w:r>
      <w:r>
        <w:t>维护。</w:t>
      </w:r>
    </w:p>
    <w:p>
      <w:pPr>
        <w:pStyle w:val="3"/>
        <w:ind w:firstLine="0"/>
      </w:pPr>
      <w:r>
        <w:rPr>
          <w:rFonts w:hint="eastAsia"/>
        </w:rPr>
        <w:t>7、诊疗时间轴</w:t>
      </w:r>
      <w:r>
        <w:tab/>
      </w:r>
    </w:p>
    <w:p>
      <w:pPr>
        <w:pStyle w:val="27"/>
        <w:numPr>
          <w:ilvl w:val="0"/>
          <w:numId w:val="8"/>
        </w:numPr>
      </w:pPr>
      <w:r>
        <w:t>接口条件具备的情况下，</w:t>
      </w:r>
      <w:r>
        <w:rPr>
          <w:rFonts w:hint="eastAsia"/>
        </w:rPr>
        <w:t>系统支持查看</w:t>
      </w:r>
      <w:r>
        <w:t>患者在本院</w:t>
      </w:r>
      <w:r>
        <w:rPr>
          <w:rFonts w:hint="eastAsia"/>
        </w:rPr>
        <w:t>的</w:t>
      </w:r>
      <w:r>
        <w:t>历史就诊</w:t>
      </w:r>
      <w:r>
        <w:rPr>
          <w:rFonts w:hint="eastAsia"/>
        </w:rPr>
        <w:t>记录</w:t>
      </w:r>
      <w:r>
        <w:t>，</w:t>
      </w:r>
      <w:r>
        <w:rPr>
          <w:rFonts w:hint="eastAsia"/>
        </w:rPr>
        <w:t>可通过时间轴的方式呈现，当鼠标移至时间轴时自动弹出历次门急诊就诊时间</w:t>
      </w:r>
      <w:r>
        <w:t>、</w:t>
      </w:r>
      <w:r>
        <w:rPr>
          <w:rFonts w:hint="eastAsia"/>
        </w:rPr>
        <w:t>历次住院区间时间，便于医护人员快速了解患者历次就诊概览</w:t>
      </w:r>
      <w:r>
        <w:t>。</w:t>
      </w:r>
    </w:p>
    <w:p>
      <w:pPr>
        <w:pStyle w:val="27"/>
        <w:numPr>
          <w:ilvl w:val="0"/>
          <w:numId w:val="8"/>
        </w:numPr>
      </w:pPr>
      <w:r>
        <w:t>能够记录患者本次在ICU诊疗过程中的关键事项，如插拔管、机械通气、抢救事件；支持根据事项类型进行筛选。</w:t>
      </w:r>
    </w:p>
    <w:p>
      <w:pPr>
        <w:pStyle w:val="3"/>
        <w:ind w:firstLine="0"/>
      </w:pPr>
      <w:r>
        <w:rPr>
          <w:rFonts w:hint="eastAsia"/>
        </w:rPr>
        <w:t>8、患者诊断记录</w:t>
      </w:r>
    </w:p>
    <w:p>
      <w:pPr>
        <w:pStyle w:val="27"/>
        <w:numPr>
          <w:ilvl w:val="0"/>
          <w:numId w:val="9"/>
        </w:numPr>
      </w:pPr>
      <w:r>
        <w:rPr>
          <w:rFonts w:hint="eastAsia"/>
        </w:rPr>
        <w:t>系统</w:t>
      </w:r>
      <w:r>
        <w:t>提供</w:t>
      </w:r>
      <w:r>
        <w:rPr>
          <w:rFonts w:hint="eastAsia"/>
        </w:rPr>
        <w:t>读取HIS等院内应用系统中诊断数据，按照时序要求显示患者就诊后诊断全</w:t>
      </w:r>
      <w:r>
        <w:t>过程</w:t>
      </w:r>
      <w:r>
        <w:rPr>
          <w:rFonts w:hint="eastAsia"/>
        </w:rPr>
        <w:t>记录，并按照不同诊断类型标示诊断变化重要环节。</w:t>
      </w:r>
    </w:p>
    <w:p>
      <w:pPr>
        <w:pStyle w:val="27"/>
        <w:numPr>
          <w:ilvl w:val="0"/>
          <w:numId w:val="9"/>
        </w:numPr>
      </w:pPr>
      <w:r>
        <w:rPr>
          <w:rFonts w:hint="eastAsia"/>
        </w:rPr>
        <w:t>系统提供符合医疗人员记录习惯的诊断记录功能，在完整记录诊断信息同时关联诊断ICD11、ICD</w:t>
      </w:r>
      <w:r>
        <w:t>10</w:t>
      </w:r>
      <w:r>
        <w:rPr>
          <w:rFonts w:hint="eastAsia"/>
        </w:rPr>
        <w:t>、ICD</w:t>
      </w:r>
      <w:r>
        <w:t>9</w:t>
      </w:r>
      <w:r>
        <w:rPr>
          <w:rFonts w:hint="eastAsia"/>
        </w:rPr>
        <w:t>等国际通用标准编码</w:t>
      </w:r>
      <w:r>
        <w:t>。</w:t>
      </w:r>
    </w:p>
    <w:p>
      <w:pPr>
        <w:pStyle w:val="27"/>
        <w:numPr>
          <w:ilvl w:val="0"/>
          <w:numId w:val="9"/>
        </w:numPr>
      </w:pPr>
      <w:r>
        <w:rPr>
          <w:rFonts w:hint="eastAsia"/>
        </w:rPr>
        <w:t>系统支持最新诊断与各个界面信息同步，包括床卡信息、患者基本信息</w:t>
      </w:r>
    </w:p>
    <w:p>
      <w:pPr>
        <w:pStyle w:val="3"/>
        <w:ind w:firstLine="0"/>
      </w:pPr>
      <w:r>
        <w:rPr>
          <w:rFonts w:hint="eastAsia"/>
        </w:rPr>
        <w:t>9、H</w:t>
      </w:r>
      <w:r>
        <w:t>IS</w:t>
      </w:r>
      <w:r>
        <w:rPr>
          <w:rFonts w:hint="eastAsia"/>
        </w:rPr>
        <w:t>信息集成</w:t>
      </w:r>
    </w:p>
    <w:p>
      <w:pPr>
        <w:pStyle w:val="27"/>
        <w:numPr>
          <w:ilvl w:val="0"/>
          <w:numId w:val="10"/>
        </w:numPr>
      </w:pPr>
      <w:r>
        <w:rPr>
          <w:rFonts w:hint="eastAsia"/>
        </w:rPr>
        <w:t>系统支持采用HL7、Web Service或者数据库视图的方式与医院现有HIS信息系统集成。</w:t>
      </w:r>
    </w:p>
    <w:p>
      <w:pPr>
        <w:pStyle w:val="27"/>
        <w:numPr>
          <w:ilvl w:val="0"/>
          <w:numId w:val="10"/>
        </w:numPr>
      </w:pPr>
      <w:r>
        <w:rPr>
          <w:rFonts w:hint="eastAsia"/>
        </w:rPr>
        <w:t>系统支持从H</w:t>
      </w:r>
      <w:r>
        <w:t>IS</w:t>
      </w:r>
      <w:r>
        <w:rPr>
          <w:rFonts w:hint="eastAsia"/>
        </w:rPr>
        <w:t>同步患者基本信息。</w:t>
      </w:r>
    </w:p>
    <w:p>
      <w:pPr>
        <w:pStyle w:val="27"/>
        <w:numPr>
          <w:ilvl w:val="0"/>
          <w:numId w:val="10"/>
        </w:numPr>
      </w:pPr>
      <w:r>
        <w:rPr>
          <w:rFonts w:hint="eastAsia"/>
        </w:rPr>
        <w:t>系统支持从H</w:t>
      </w:r>
      <w:r>
        <w:t>IS</w:t>
      </w:r>
      <w:r>
        <w:rPr>
          <w:rFonts w:hint="eastAsia"/>
        </w:rPr>
        <w:t>获取患者医嘱信息，包括名称、规格、用量、频次、医嘱状态。</w:t>
      </w:r>
    </w:p>
    <w:p>
      <w:pPr>
        <w:pStyle w:val="3"/>
        <w:ind w:firstLine="0"/>
      </w:pPr>
      <w:r>
        <w:rPr>
          <w:rFonts w:hint="eastAsia"/>
        </w:rPr>
        <w:t>10、医嘱执行记录</w:t>
      </w:r>
      <w:r>
        <w:tab/>
      </w:r>
    </w:p>
    <w:p>
      <w:pPr>
        <w:pStyle w:val="27"/>
        <w:numPr>
          <w:ilvl w:val="0"/>
          <w:numId w:val="11"/>
        </w:numPr>
      </w:pPr>
      <w:r>
        <w:rPr>
          <w:rFonts w:hint="eastAsia"/>
        </w:rPr>
        <w:t>系统</w:t>
      </w:r>
      <w:r>
        <w:t>自动从HIS中提取医嘱，并在医嘱执行界面</w:t>
      </w:r>
      <w:r>
        <w:rPr>
          <w:rFonts w:hint="eastAsia"/>
        </w:rPr>
        <w:t>整体</w:t>
      </w:r>
      <w:r>
        <w:t>显示，</w:t>
      </w:r>
      <w:r>
        <w:rPr>
          <w:rFonts w:hint="eastAsia"/>
        </w:rPr>
        <w:t>可以</w:t>
      </w:r>
      <w:r>
        <w:t>自动按照长期、临时</w:t>
      </w:r>
      <w:r>
        <w:rPr>
          <w:rFonts w:hint="eastAsia"/>
        </w:rPr>
        <w:t>的医嘱显示，也可以按照</w:t>
      </w:r>
      <w:r>
        <w:t>输液、</w:t>
      </w:r>
      <w:r>
        <w:rPr>
          <w:rFonts w:hint="eastAsia"/>
        </w:rPr>
        <w:t>口服</w:t>
      </w:r>
      <w:r>
        <w:t>、治疗</w:t>
      </w:r>
      <w:r>
        <w:rPr>
          <w:rFonts w:hint="eastAsia"/>
        </w:rPr>
        <w:t>、注射医嘱执行类别</w:t>
      </w:r>
      <w:r>
        <w:t>进行分类，方便医护人员查看</w:t>
      </w:r>
      <w:r>
        <w:rPr>
          <w:rFonts w:hint="eastAsia"/>
        </w:rPr>
        <w:t>和操作。</w:t>
      </w:r>
    </w:p>
    <w:p>
      <w:pPr>
        <w:pStyle w:val="27"/>
        <w:numPr>
          <w:ilvl w:val="0"/>
          <w:numId w:val="11"/>
        </w:numPr>
      </w:pPr>
      <w:r>
        <w:t>医护人员可按班次</w:t>
      </w:r>
      <w:r>
        <w:rPr>
          <w:rFonts w:hint="eastAsia"/>
        </w:rPr>
        <w:t>进行</w:t>
      </w:r>
      <w:r>
        <w:t>查询和执行医嘱，</w:t>
      </w:r>
      <w:r>
        <w:rPr>
          <w:rFonts w:hint="eastAsia"/>
        </w:rPr>
        <w:t>便于当班护士快速了解本班次所要执行的医嘱内容。</w:t>
      </w:r>
      <w:r>
        <w:t>可通过医嘱执行状态和医嘱类型进行筛选和定位医嘱，同时可将医嘱执行情况进行记录和修改</w:t>
      </w:r>
      <w:r>
        <w:rPr>
          <w:rFonts w:hint="eastAsia"/>
        </w:rPr>
        <w:t>。</w:t>
      </w:r>
    </w:p>
    <w:p>
      <w:pPr>
        <w:pStyle w:val="27"/>
        <w:numPr>
          <w:ilvl w:val="0"/>
          <w:numId w:val="11"/>
        </w:numPr>
      </w:pPr>
      <w:r>
        <w:t>用户可查看医嘱执行情况，用醒目颜色标识新开、未执行、完成、停止状态的医嘱，并显示具体执行情况，全程跟踪医嘱的执行情况，界面清晰，颜色醒目，分类明确。</w:t>
      </w:r>
    </w:p>
    <w:p>
      <w:pPr>
        <w:pStyle w:val="27"/>
        <w:numPr>
          <w:ilvl w:val="0"/>
          <w:numId w:val="11"/>
        </w:numPr>
      </w:pPr>
      <w:r>
        <w:rPr>
          <w:rFonts w:hint="eastAsia"/>
        </w:rPr>
        <w:t>用户执行医嘱的同时，系统即可自动生成符合科室要求的护理记录。</w:t>
      </w:r>
    </w:p>
    <w:p>
      <w:pPr>
        <w:pStyle w:val="27"/>
        <w:numPr>
          <w:ilvl w:val="0"/>
          <w:numId w:val="11"/>
        </w:numPr>
      </w:pPr>
      <w:r>
        <w:t>系统详细记录每条医嘱的处理情况，补液统计到出入量中；支持记录补液或药品执行采用的管路和设备信息。</w:t>
      </w:r>
    </w:p>
    <w:p>
      <w:pPr>
        <w:pStyle w:val="27"/>
        <w:numPr>
          <w:ilvl w:val="0"/>
          <w:numId w:val="11"/>
        </w:numPr>
      </w:pPr>
      <w:r>
        <w:rPr>
          <w:rFonts w:hint="eastAsia"/>
        </w:rPr>
        <w:t>系统</w:t>
      </w:r>
      <w:r>
        <w:t>支持用药剂量的换算，换算规则可维护，确保入量的准确汇总。</w:t>
      </w:r>
    </w:p>
    <w:p>
      <w:pPr>
        <w:pStyle w:val="27"/>
        <w:numPr>
          <w:ilvl w:val="0"/>
          <w:numId w:val="11"/>
        </w:numPr>
      </w:pPr>
      <w:r>
        <w:rPr>
          <w:rFonts w:hint="eastAsia"/>
        </w:rPr>
        <w:t>系统支持医嘱集中快速执行；支持按照用户需求灵活设定快速执行医嘱项。</w:t>
      </w:r>
    </w:p>
    <w:p>
      <w:pPr>
        <w:pStyle w:val="27"/>
        <w:numPr>
          <w:ilvl w:val="0"/>
          <w:numId w:val="11"/>
        </w:numPr>
      </w:pPr>
      <w:r>
        <w:rPr>
          <w:rFonts w:hint="eastAsia"/>
        </w:rPr>
        <w:t>医护人员可</w:t>
      </w:r>
      <w:r>
        <w:t>查看输液类药品执行的入量趋势图，包含流速的变化情况</w:t>
      </w:r>
      <w:r>
        <w:rPr>
          <w:rFonts w:hint="eastAsia"/>
        </w:rPr>
        <w:t>；系统内置</w:t>
      </w:r>
      <w:r>
        <w:t>“流速计算器”</w:t>
      </w:r>
      <w:r>
        <w:rPr>
          <w:rFonts w:hint="eastAsia"/>
        </w:rPr>
        <w:t>，便于医护人员对患者输液状态的管理。</w:t>
      </w:r>
    </w:p>
    <w:p>
      <w:pPr>
        <w:pStyle w:val="3"/>
        <w:ind w:firstLine="0"/>
      </w:pPr>
      <w:r>
        <w:rPr>
          <w:rFonts w:hint="eastAsia"/>
        </w:rPr>
        <w:t>11、护理计划执行</w:t>
      </w:r>
      <w:r>
        <w:tab/>
      </w:r>
    </w:p>
    <w:p>
      <w:pPr>
        <w:pStyle w:val="27"/>
        <w:numPr>
          <w:ilvl w:val="0"/>
          <w:numId w:val="12"/>
        </w:numPr>
      </w:pPr>
      <w:r>
        <w:t>系统支持医护人员结合临床反馈和实际应用情况制定护理计划，也可以根据</w:t>
      </w:r>
      <w:r>
        <w:rPr>
          <w:rFonts w:hint="eastAsia"/>
        </w:rPr>
        <w:t>用户需求自行</w:t>
      </w:r>
      <w:r>
        <w:t>修改、新增、删除护理计划。</w:t>
      </w:r>
    </w:p>
    <w:p>
      <w:pPr>
        <w:pStyle w:val="27"/>
        <w:numPr>
          <w:ilvl w:val="0"/>
          <w:numId w:val="12"/>
        </w:numPr>
      </w:pPr>
      <w:r>
        <w:t>护理计划的下达具备完整的审核流程，通过权限设定保证计划准确、有效。</w:t>
      </w:r>
    </w:p>
    <w:p>
      <w:pPr>
        <w:pStyle w:val="27"/>
        <w:numPr>
          <w:ilvl w:val="0"/>
          <w:numId w:val="12"/>
        </w:numPr>
      </w:pPr>
      <w:r>
        <w:t>系统提供时间轴同步计划执行的功能，实时显示护理计划当前的执行情况。</w:t>
      </w:r>
    </w:p>
    <w:p>
      <w:pPr>
        <w:pStyle w:val="27"/>
        <w:numPr>
          <w:ilvl w:val="0"/>
          <w:numId w:val="12"/>
        </w:numPr>
      </w:pPr>
      <w:r>
        <w:rPr>
          <w:rFonts w:hint="eastAsia"/>
        </w:rPr>
        <w:t>护理计划包括护理项目、状态、执行天数、频次、执行要求、开立人，系统</w:t>
      </w:r>
      <w:r>
        <w:t>支持根据状态筛选患者的护理计划内容</w:t>
      </w:r>
      <w:r>
        <w:rPr>
          <w:rFonts w:hint="eastAsia"/>
        </w:rPr>
        <w:t>，支持护理计划单打印功能</w:t>
      </w:r>
      <w:r>
        <w:t>。</w:t>
      </w:r>
    </w:p>
    <w:p>
      <w:pPr>
        <w:pStyle w:val="27"/>
        <w:numPr>
          <w:ilvl w:val="0"/>
          <w:numId w:val="12"/>
        </w:numPr>
      </w:pPr>
      <w:r>
        <w:rPr>
          <w:rFonts w:hint="eastAsia"/>
        </w:rPr>
        <w:t>护理计划与医嘱执行支持在同一页面查看、执行和提醒，保证护理工作的连贯性。</w:t>
      </w:r>
    </w:p>
    <w:p>
      <w:pPr>
        <w:pStyle w:val="3"/>
        <w:ind w:firstLine="0"/>
      </w:pPr>
      <w:r>
        <w:rPr>
          <w:rFonts w:hint="eastAsia"/>
        </w:rPr>
        <w:t>12、</w:t>
      </w:r>
      <w:r>
        <w:rPr>
          <w:rFonts w:hint="eastAsia" w:ascii="仿宋_GB2312" w:hAnsi="华文仿宋" w:eastAsia="仿宋_GB2312" w:cs="Arial"/>
          <w:bCs/>
          <w:color w:val="auto"/>
          <w:sz w:val="32"/>
          <w:szCs w:val="32"/>
        </w:rPr>
        <w:t>●</w:t>
      </w:r>
      <w:r>
        <w:rPr>
          <w:rFonts w:hint="eastAsia"/>
        </w:rPr>
        <w:t>重症监测项目</w:t>
      </w:r>
    </w:p>
    <w:p>
      <w:pPr>
        <w:pStyle w:val="27"/>
        <w:numPr>
          <w:ilvl w:val="0"/>
          <w:numId w:val="13"/>
        </w:numPr>
      </w:pPr>
      <w:r>
        <w:rPr>
          <w:rFonts w:hint="eastAsia"/>
        </w:rPr>
        <w:t>系统提供集中、快速临床监护信息录入入口，提供录入信息分类定位，以便于用户方便快捷录入及查看监护数据。</w:t>
      </w:r>
    </w:p>
    <w:p>
      <w:pPr>
        <w:pStyle w:val="27"/>
        <w:numPr>
          <w:ilvl w:val="0"/>
          <w:numId w:val="13"/>
        </w:numPr>
      </w:pPr>
      <w:r>
        <w:t>系统</w:t>
      </w:r>
      <w:r>
        <w:rPr>
          <w:rFonts w:hint="eastAsia"/>
        </w:rPr>
        <w:t>支持</w:t>
      </w:r>
      <w:r>
        <w:t>从设备自动采集</w:t>
      </w:r>
      <w:r>
        <w:rPr>
          <w:rFonts w:hint="eastAsia"/>
        </w:rPr>
        <w:t>各类监测</w:t>
      </w:r>
      <w:r>
        <w:t>数据，</w:t>
      </w:r>
      <w:r>
        <w:rPr>
          <w:rFonts w:hint="eastAsia"/>
        </w:rPr>
        <w:t>可</w:t>
      </w:r>
      <w:r>
        <w:t>支持</w:t>
      </w:r>
      <w:r>
        <w:rPr>
          <w:rFonts w:hint="eastAsia"/>
        </w:rPr>
        <w:t>按信息类型</w:t>
      </w:r>
      <w:r>
        <w:t>快速定位到所需监测的观察项类别</w:t>
      </w:r>
      <w:r>
        <w:rPr>
          <w:rFonts w:hint="eastAsia"/>
        </w:rPr>
        <w:t>；</w:t>
      </w:r>
      <w:r>
        <w:t>支持设备数据阈值的设置，当设备采集的数据出现异常时，系统会对异常数据进行颜色标示</w:t>
      </w:r>
      <w:r>
        <w:rPr>
          <w:rFonts w:hint="eastAsia"/>
        </w:rPr>
        <w:t>；提供监测数据合理性判断，</w:t>
      </w:r>
      <w:r>
        <w:t>以提醒医护人员。</w:t>
      </w:r>
    </w:p>
    <w:p>
      <w:pPr>
        <w:pStyle w:val="27"/>
        <w:numPr>
          <w:ilvl w:val="0"/>
          <w:numId w:val="13"/>
        </w:numPr>
      </w:pPr>
      <w:r>
        <w:t>系统支持对需要记录的出入量条目进行删减和维护，</w:t>
      </w:r>
      <w:r>
        <w:rPr>
          <w:rFonts w:hint="eastAsia"/>
        </w:rPr>
        <w:t>并可</w:t>
      </w:r>
      <w:r>
        <w:t>根据当前</w:t>
      </w:r>
      <w:r>
        <w:rPr>
          <w:rFonts w:hint="eastAsia"/>
        </w:rPr>
        <w:t>患者插管</w:t>
      </w:r>
      <w:r>
        <w:t>情况，动态生成出入量记录界面</w:t>
      </w:r>
      <w:r>
        <w:rPr>
          <w:rFonts w:hint="eastAsia"/>
        </w:rPr>
        <w:t>；</w:t>
      </w:r>
      <w:r>
        <w:t>支持统计医嘱补液的入量</w:t>
      </w:r>
      <w:r>
        <w:rPr>
          <w:rFonts w:hint="eastAsia"/>
        </w:rPr>
        <w:t>；同时系统提供</w:t>
      </w:r>
      <w:r>
        <w:t>通过不同性状的物质含水量百分比计算液体量。</w:t>
      </w:r>
      <w:r>
        <w:rPr>
          <w:rFonts w:hint="eastAsia"/>
        </w:rPr>
        <w:t>系统提供统计出量、入量和平衡量多种统计方案。</w:t>
      </w:r>
    </w:p>
    <w:p>
      <w:pPr>
        <w:pStyle w:val="27"/>
        <w:numPr>
          <w:ilvl w:val="0"/>
          <w:numId w:val="13"/>
        </w:numPr>
      </w:pPr>
      <w:r>
        <w:rPr>
          <w:rFonts w:hint="eastAsia"/>
        </w:rPr>
        <w:t>系统</w:t>
      </w:r>
      <w:r>
        <w:t>支持对所有类别的数据进行人工修正和批量审核</w:t>
      </w:r>
      <w:r>
        <w:rPr>
          <w:rFonts w:hint="eastAsia"/>
        </w:rPr>
        <w:t>；支持对部分监测项的标准选项录入；</w:t>
      </w:r>
      <w:r>
        <w:t>支持对修正进行权限控制</w:t>
      </w:r>
      <w:r>
        <w:rPr>
          <w:rFonts w:hint="eastAsia"/>
        </w:rPr>
        <w:t>。</w:t>
      </w:r>
    </w:p>
    <w:p>
      <w:pPr>
        <w:pStyle w:val="27"/>
        <w:numPr>
          <w:ilvl w:val="0"/>
          <w:numId w:val="13"/>
        </w:numPr>
      </w:pPr>
      <w:r>
        <w:rPr>
          <w:rFonts w:hint="eastAsia"/>
        </w:rPr>
        <w:t>系统</w:t>
      </w:r>
      <w:r>
        <w:t>提供以点选方式录入主观的观察数据，用户可自定义观察项</w:t>
      </w:r>
      <w:r>
        <w:rPr>
          <w:rFonts w:hint="eastAsia"/>
        </w:rPr>
        <w:t>、出入量</w:t>
      </w:r>
      <w:r>
        <w:t>模板，可根据专科化需求对观察项模板进行编辑、修改和删除。</w:t>
      </w:r>
    </w:p>
    <w:p>
      <w:pPr>
        <w:pStyle w:val="27"/>
        <w:numPr>
          <w:ilvl w:val="0"/>
          <w:numId w:val="13"/>
        </w:numPr>
      </w:pPr>
      <w:r>
        <w:rPr>
          <w:rFonts w:cs="Segoe UI Symbol" w:asciiTheme="minorEastAsia" w:hAnsiTheme="minorEastAsia" w:eastAsiaTheme="minorEastAsia"/>
          <w:sz w:val="28"/>
          <w:szCs w:val="28"/>
        </w:rPr>
        <w:t>▲</w:t>
      </w:r>
      <w:r>
        <w:rPr>
          <w:rFonts w:hint="eastAsia" w:cstheme="minorBidi"/>
          <w:szCs w:val="22"/>
        </w:rPr>
        <w:t>系统</w:t>
      </w:r>
      <w:r>
        <w:t>支持根据已知公式对参数进行计算并显示</w:t>
      </w:r>
      <w:r>
        <w:rPr>
          <w:rFonts w:hint="eastAsia"/>
        </w:rPr>
        <w:t>：</w:t>
      </w:r>
      <w:r>
        <w:t>如输入舒张压和收缩压可计算MAP数值；其它如BMI、氧合指数</w:t>
      </w:r>
      <w:r>
        <w:rPr>
          <w:rFonts w:hint="eastAsia"/>
        </w:rPr>
        <w:t>、CVP</w:t>
      </w:r>
      <w:r>
        <w:t>均可计算，计算规则支持配置。</w:t>
      </w:r>
    </w:p>
    <w:p>
      <w:pPr>
        <w:pStyle w:val="27"/>
        <w:numPr>
          <w:ilvl w:val="0"/>
          <w:numId w:val="13"/>
        </w:numPr>
      </w:pPr>
      <w:r>
        <w:rPr>
          <w:rFonts w:hint="eastAsia"/>
        </w:rPr>
        <w:t>医护人员</w:t>
      </w:r>
      <w:r>
        <w:t>可以针对不同患者不同病情设置个性化的观察参数。</w:t>
      </w:r>
    </w:p>
    <w:p>
      <w:pPr>
        <w:pStyle w:val="27"/>
        <w:numPr>
          <w:ilvl w:val="0"/>
          <w:numId w:val="13"/>
        </w:numPr>
      </w:pPr>
      <w:r>
        <w:rPr>
          <w:rFonts w:hint="eastAsia"/>
        </w:rPr>
        <w:t>系统</w:t>
      </w:r>
      <w:r>
        <w:t>支持任意时间点的数据录入。</w:t>
      </w:r>
    </w:p>
    <w:p>
      <w:pPr>
        <w:pStyle w:val="3"/>
        <w:ind w:firstLine="0"/>
      </w:pPr>
      <w:r>
        <w:rPr>
          <w:rFonts w:hint="eastAsia"/>
        </w:rPr>
        <w:t>13、</w:t>
      </w:r>
      <w:r>
        <w:t>护理病情记录</w:t>
      </w:r>
    </w:p>
    <w:p>
      <w:pPr>
        <w:pStyle w:val="27"/>
        <w:numPr>
          <w:ilvl w:val="0"/>
          <w:numId w:val="14"/>
        </w:numPr>
      </w:pPr>
      <w:r>
        <w:t>对于护士重复书写的出入院评估、护理措施、病情记录和交班报告文字段落，系统提供模块化模板供用户使用，减少书写时间，规范文书格式；用户可自定义、修改、删减和保存记录模板。</w:t>
      </w:r>
    </w:p>
    <w:p>
      <w:pPr>
        <w:pStyle w:val="27"/>
        <w:numPr>
          <w:ilvl w:val="0"/>
          <w:numId w:val="14"/>
        </w:numPr>
      </w:pPr>
      <w:r>
        <w:rPr>
          <w:rFonts w:hint="eastAsia"/>
        </w:rPr>
        <w:t>系统</w:t>
      </w:r>
      <w:r>
        <w:t>支持医疗单位、罗马字符、数学字符及其它特殊字符的快速录入。</w:t>
      </w:r>
    </w:p>
    <w:p>
      <w:pPr>
        <w:pStyle w:val="27"/>
        <w:numPr>
          <w:ilvl w:val="0"/>
          <w:numId w:val="14"/>
        </w:numPr>
      </w:pPr>
      <w:r>
        <w:rPr>
          <w:rFonts w:hint="eastAsia"/>
        </w:rPr>
        <w:t>医护人员可</w:t>
      </w:r>
      <w:r>
        <w:t>根据班次查看病情记录，按照记录时间进行排序。</w:t>
      </w:r>
    </w:p>
    <w:p>
      <w:pPr>
        <w:pStyle w:val="27"/>
        <w:numPr>
          <w:ilvl w:val="0"/>
          <w:numId w:val="14"/>
        </w:numPr>
      </w:pPr>
      <w:r>
        <w:rPr>
          <w:rFonts w:hint="eastAsia"/>
        </w:rPr>
        <w:t>系统支持护理记录与临床行为紧密关联，用户在完成医嘱执行及临床监测时，相应信息即可生成到护理记录中。</w:t>
      </w:r>
    </w:p>
    <w:p>
      <w:pPr>
        <w:pStyle w:val="3"/>
        <w:ind w:firstLine="0"/>
      </w:pPr>
      <w:r>
        <w:rPr>
          <w:rFonts w:hint="eastAsia"/>
        </w:rPr>
        <w:t>14、▲重症病情</w:t>
      </w:r>
      <w:r>
        <w:t>评分</w:t>
      </w:r>
      <w:r>
        <w:tab/>
      </w:r>
    </w:p>
    <w:p>
      <w:pPr>
        <w:pStyle w:val="27"/>
        <w:numPr>
          <w:ilvl w:val="0"/>
          <w:numId w:val="15"/>
        </w:numPr>
      </w:pPr>
      <w:r>
        <w:rPr>
          <w:rFonts w:hint="eastAsia"/>
        </w:rPr>
        <w:t>系统</w:t>
      </w:r>
      <w:r>
        <w:t>提供</w:t>
      </w:r>
      <w:r>
        <w:rPr>
          <w:rFonts w:hint="eastAsia"/>
        </w:rPr>
        <w:t>重症医学</w:t>
      </w:r>
      <w:r>
        <w:t>常见的重症医学相关评分供医护人员对患者病情评估时使用</w:t>
      </w:r>
      <w:r>
        <w:rPr>
          <w:rFonts w:hint="eastAsia"/>
        </w:rPr>
        <w:t>，包括</w:t>
      </w:r>
      <w:r>
        <w:t>APACHE II急性生理学及慢性健康评分、GCS格拉斯哥昏迷评分</w:t>
      </w:r>
      <w:r>
        <w:rPr>
          <w:rFonts w:hint="eastAsia"/>
        </w:rPr>
        <w:t>（</w:t>
      </w:r>
      <w:r>
        <w:t>Glasgow</w:t>
      </w:r>
      <w:r>
        <w:rPr>
          <w:rFonts w:hint="eastAsia"/>
        </w:rPr>
        <w:t>）</w:t>
      </w:r>
      <w:r>
        <w:t>、SOFA序贯器官衰竭估计评分</w:t>
      </w:r>
      <w:r>
        <w:rPr>
          <w:rFonts w:hint="eastAsia"/>
        </w:rPr>
        <w:t>、</w:t>
      </w:r>
      <w:r>
        <w:t>NUTRIC评分量表</w:t>
      </w:r>
      <w:r>
        <w:rPr>
          <w:rFonts w:hint="eastAsia"/>
        </w:rPr>
        <w:t>、简易肠胃功能评分、</w:t>
      </w:r>
      <w:r>
        <w:t>SAS Riker镇静</w:t>
      </w:r>
      <w:r>
        <w:rPr>
          <w:rFonts w:hint="eastAsia"/>
        </w:rPr>
        <w:t>/</w:t>
      </w:r>
      <w:r>
        <w:t>躁动评分</w:t>
      </w:r>
      <w:r>
        <w:rPr>
          <w:rFonts w:hint="eastAsia"/>
        </w:rPr>
        <w:t>、压疮危险因素</w:t>
      </w:r>
      <w:r>
        <w:t>Braden评分</w:t>
      </w:r>
      <w:r>
        <w:rPr>
          <w:rFonts w:hint="eastAsia"/>
        </w:rPr>
        <w:t>、</w:t>
      </w:r>
      <w:r>
        <w:t>Ramsay镇静评分</w:t>
      </w:r>
      <w:r>
        <w:rPr>
          <w:rFonts w:hint="eastAsia"/>
        </w:rPr>
        <w:t>、机械通气患者的</w:t>
      </w:r>
      <w:r>
        <w:t>Brussels镇静评分。</w:t>
      </w:r>
      <w:r>
        <w:rPr>
          <w:rFonts w:hint="eastAsia"/>
          <w:color w:val="FF0000"/>
          <w:lang w:eastAsia="zh-CN"/>
        </w:rPr>
        <w:t>、</w:t>
      </w:r>
      <w:r>
        <w:rPr>
          <w:rFonts w:hint="eastAsia"/>
          <w:color w:val="FF0000"/>
          <w:lang w:val="en-US" w:eastAsia="zh-CN"/>
        </w:rPr>
        <w:t>CPOT疼痛评分、住院患者管道脱落危险因素评分、住院患者跌倒/坠床危险因素评分、血栓风险评估（外科版）、血栓风险评估（内科版）。护理风险告知单可以行家属电子签名。</w:t>
      </w:r>
    </w:p>
    <w:p>
      <w:pPr>
        <w:pStyle w:val="27"/>
        <w:numPr>
          <w:ilvl w:val="0"/>
          <w:numId w:val="15"/>
        </w:numPr>
      </w:pPr>
      <w:r>
        <w:rPr>
          <w:rFonts w:hint="eastAsia"/>
        </w:rPr>
        <w:t>系统</w:t>
      </w:r>
      <w:r>
        <w:t>能</w:t>
      </w:r>
      <w:r>
        <w:rPr>
          <w:rFonts w:hint="eastAsia"/>
        </w:rPr>
        <w:t>够</w:t>
      </w:r>
      <w:r>
        <w:t>动态展示患者的各项评分，并自动绘出评分结果变化趋势曲线，支持快速切换查看不同患者的评分变化趋势和评分详情。</w:t>
      </w:r>
    </w:p>
    <w:p>
      <w:pPr>
        <w:pStyle w:val="27"/>
        <w:numPr>
          <w:ilvl w:val="0"/>
          <w:numId w:val="15"/>
        </w:numPr>
      </w:pPr>
      <w:r>
        <w:rPr>
          <w:rFonts w:hint="eastAsia"/>
        </w:rPr>
        <w:t>系统</w:t>
      </w:r>
      <w:r>
        <w:t>提供常见的评分模板，支持用户增加、保存、修改、删除、预览和打印各种评分，并且可以根据需求自定义评分项目和规则。</w:t>
      </w:r>
    </w:p>
    <w:p>
      <w:pPr>
        <w:pStyle w:val="27"/>
        <w:numPr>
          <w:ilvl w:val="0"/>
          <w:numId w:val="15"/>
        </w:numPr>
      </w:pPr>
      <w:r>
        <w:rPr>
          <w:rFonts w:hint="eastAsia"/>
        </w:rPr>
        <w:t>系统</w:t>
      </w:r>
      <w:r>
        <w:t>支持患者</w:t>
      </w:r>
      <w:r>
        <w:rPr>
          <w:rFonts w:hint="eastAsia"/>
        </w:rPr>
        <w:t>信息、生命体征、出入量数据</w:t>
      </w:r>
      <w:r>
        <w:t>提取，筛选评分所需的临床数据，并且转换评分内容相应分值，极大节省时间。</w:t>
      </w:r>
    </w:p>
    <w:p>
      <w:pPr>
        <w:pStyle w:val="27"/>
        <w:numPr>
          <w:ilvl w:val="0"/>
          <w:numId w:val="15"/>
        </w:numPr>
      </w:pPr>
      <w:r>
        <w:t>对于自动提取的数据，</w:t>
      </w:r>
      <w:r>
        <w:rPr>
          <w:rFonts w:hint="eastAsia"/>
        </w:rPr>
        <w:t>系统</w:t>
      </w:r>
      <w:r>
        <w:t>支持参考值及其分值的显示，便于医生跟踪和查验计算过程，并进行修正，进一步提高评分的准确性。</w:t>
      </w:r>
    </w:p>
    <w:p>
      <w:pPr>
        <w:pStyle w:val="3"/>
        <w:ind w:firstLine="0"/>
      </w:pPr>
      <w:r>
        <w:rPr>
          <w:rFonts w:hint="eastAsia"/>
        </w:rPr>
        <w:t>15、导管</w:t>
      </w:r>
      <w:r>
        <w:t>监测</w:t>
      </w:r>
      <w:r>
        <w:rPr>
          <w:rFonts w:hint="eastAsia"/>
        </w:rPr>
        <w:t>记录</w:t>
      </w:r>
      <w:r>
        <w:tab/>
      </w:r>
    </w:p>
    <w:p>
      <w:pPr>
        <w:pStyle w:val="27"/>
        <w:numPr>
          <w:ilvl w:val="0"/>
          <w:numId w:val="16"/>
        </w:numPr>
      </w:pPr>
      <w:r>
        <w:rPr>
          <w:rFonts w:hint="eastAsia"/>
        </w:rPr>
        <w:t>系统</w:t>
      </w:r>
      <w:r>
        <w:t>提供对患者导管的集中管理，支持以甘特图的形式显示患者导管总体情况</w:t>
      </w:r>
      <w:r>
        <w:rPr>
          <w:rFonts w:hint="eastAsia"/>
        </w:rPr>
        <w:t>，便于医护人员了解患者各类导管的管理信息。</w:t>
      </w:r>
    </w:p>
    <w:p>
      <w:pPr>
        <w:pStyle w:val="27"/>
        <w:numPr>
          <w:ilvl w:val="0"/>
          <w:numId w:val="16"/>
        </w:numPr>
      </w:pPr>
      <w:r>
        <w:rPr>
          <w:rFonts w:hint="eastAsia"/>
        </w:rPr>
        <w:t>系统</w:t>
      </w:r>
      <w:r>
        <w:t>提供符合医疗规范的人体部位字典，支持与不同类型导管的插管部位匹配，辅助护士进行快速、准确的插拔管记录。</w:t>
      </w:r>
    </w:p>
    <w:p>
      <w:pPr>
        <w:pStyle w:val="27"/>
        <w:numPr>
          <w:ilvl w:val="0"/>
          <w:numId w:val="16"/>
        </w:numPr>
      </w:pPr>
      <w:r>
        <w:t>医护人员可新增、修改、拔除导管，并记录插管时间、拔管时间、导管类型、规格、长度、引流液颜色、性质、流量、穿刺部位、</w:t>
      </w:r>
      <w:r>
        <w:rPr>
          <w:rFonts w:hint="eastAsia"/>
        </w:rPr>
        <w:t>导管周围的</w:t>
      </w:r>
      <w:r>
        <w:t>皮肤情况信息。</w:t>
      </w:r>
    </w:p>
    <w:p>
      <w:pPr>
        <w:pStyle w:val="27"/>
        <w:numPr>
          <w:ilvl w:val="0"/>
          <w:numId w:val="16"/>
        </w:numPr>
      </w:pPr>
      <w:r>
        <w:rPr>
          <w:rFonts w:hint="eastAsia"/>
        </w:rPr>
        <w:t>系统</w:t>
      </w:r>
      <w:r>
        <w:t>支持导管有效期管理，导管超期会标注，便于医护人员及时更换导管。</w:t>
      </w:r>
    </w:p>
    <w:p>
      <w:pPr>
        <w:pStyle w:val="27"/>
        <w:numPr>
          <w:ilvl w:val="0"/>
          <w:numId w:val="16"/>
        </w:numPr>
      </w:pPr>
      <w:r>
        <w:rPr>
          <w:rFonts w:hint="eastAsia"/>
        </w:rPr>
        <w:t>系统</w:t>
      </w:r>
      <w:r>
        <w:t>提供各类导管事件的知识库支撑，支持对患者导管事件的监测、记录以及相应护理措施的执行记录。</w:t>
      </w:r>
    </w:p>
    <w:p>
      <w:pPr>
        <w:pStyle w:val="27"/>
        <w:numPr>
          <w:ilvl w:val="0"/>
          <w:numId w:val="16"/>
        </w:numPr>
      </w:pPr>
      <w:r>
        <w:rPr>
          <w:rFonts w:hint="eastAsia"/>
        </w:rPr>
        <w:t>系统支持</w:t>
      </w:r>
      <w:r>
        <w:t>统计患者的引流量，</w:t>
      </w:r>
      <w:r>
        <w:rPr>
          <w:rFonts w:hint="eastAsia"/>
        </w:rPr>
        <w:t>出量汇总后</w:t>
      </w:r>
      <w:r>
        <w:t>生成出量动态图，并关联到出入量统计中。</w:t>
      </w:r>
    </w:p>
    <w:p>
      <w:pPr>
        <w:pStyle w:val="3"/>
        <w:ind w:firstLine="0"/>
      </w:pPr>
      <w:r>
        <w:rPr>
          <w:rFonts w:hint="eastAsia"/>
        </w:rPr>
        <w:t>16、皮肤综合管理</w:t>
      </w:r>
      <w:r>
        <w:tab/>
      </w:r>
    </w:p>
    <w:p>
      <w:pPr>
        <w:pStyle w:val="27"/>
        <w:numPr>
          <w:ilvl w:val="0"/>
          <w:numId w:val="17"/>
        </w:numPr>
      </w:pPr>
      <w:r>
        <w:rPr>
          <w:rFonts w:hint="eastAsia"/>
        </w:rPr>
        <w:t>系统为提供3</w:t>
      </w:r>
      <w:r>
        <w:t>D</w:t>
      </w:r>
      <w:r>
        <w:rPr>
          <w:rFonts w:hint="eastAsia"/>
        </w:rPr>
        <w:t>人体示意图，提供人体图上皮肤损伤常见部位定义功能，</w:t>
      </w:r>
      <w:r>
        <w:rPr>
          <w:rFonts w:hint="eastAsia"/>
          <w:color w:val="000000" w:themeColor="text1"/>
          <w14:textFill>
            <w14:solidFill>
              <w14:schemeClr w14:val="tx1"/>
            </w14:solidFill>
          </w14:textFill>
        </w:rPr>
        <w:t>提供不同人体图模型</w:t>
      </w:r>
      <w:r>
        <w:rPr>
          <w:rFonts w:hint="eastAsia"/>
        </w:rPr>
        <w:t>，以适应不同皮损类型的皮肤观察记录。</w:t>
      </w:r>
    </w:p>
    <w:p>
      <w:pPr>
        <w:pStyle w:val="27"/>
        <w:numPr>
          <w:ilvl w:val="0"/>
          <w:numId w:val="17"/>
        </w:numPr>
      </w:pPr>
      <w:r>
        <w:rPr>
          <w:rFonts w:hint="eastAsia"/>
        </w:rPr>
        <w:t>系统支持标识可定义，用于标注不同类型皮损信息及严重程度。</w:t>
      </w:r>
    </w:p>
    <w:p>
      <w:pPr>
        <w:pStyle w:val="27"/>
        <w:numPr>
          <w:ilvl w:val="0"/>
          <w:numId w:val="17"/>
        </w:numPr>
      </w:pPr>
      <w:r>
        <w:rPr>
          <w:rFonts w:hint="eastAsia"/>
        </w:rPr>
        <w:t>系统支持鼠标移至人体图标注处自动闪烁对应的皮肤观察记录明细，支持鼠标移至皮肤观察记录明细自动闪烁人体图对应的标注处，方便医护人员快速查看。</w:t>
      </w:r>
    </w:p>
    <w:p>
      <w:pPr>
        <w:pStyle w:val="27"/>
        <w:numPr>
          <w:ilvl w:val="0"/>
          <w:numId w:val="17"/>
        </w:numPr>
      </w:pPr>
      <w:r>
        <w:rPr>
          <w:rFonts w:hint="eastAsia"/>
        </w:rPr>
        <w:t>系统支持通过权限设定用户审核操作，保证皮肤观察记录的准确、严谨。</w:t>
      </w:r>
    </w:p>
    <w:p>
      <w:pPr>
        <w:pStyle w:val="27"/>
        <w:numPr>
          <w:ilvl w:val="0"/>
          <w:numId w:val="17"/>
        </w:numPr>
      </w:pPr>
      <w:r>
        <w:rPr>
          <w:rFonts w:hint="eastAsia"/>
        </w:rPr>
        <w:t>系统适应不同科室电脑分辨率的差异，支持根据不同分辨率显示皮肤管理预设视图。</w:t>
      </w:r>
    </w:p>
    <w:p>
      <w:pPr>
        <w:pStyle w:val="27"/>
        <w:numPr>
          <w:ilvl w:val="0"/>
          <w:numId w:val="17"/>
        </w:numPr>
      </w:pPr>
      <w:r>
        <w:rPr>
          <w:rFonts w:hint="eastAsia"/>
        </w:rPr>
        <w:t>系统提供皮肤管理知识库，提供不同类型皮损的监测信息记录，并呈现对应的处理措施。</w:t>
      </w:r>
    </w:p>
    <w:p>
      <w:pPr>
        <w:pStyle w:val="27"/>
        <w:numPr>
          <w:ilvl w:val="0"/>
          <w:numId w:val="17"/>
        </w:numPr>
      </w:pPr>
      <w:r>
        <w:rPr>
          <w:rFonts w:hint="eastAsia"/>
        </w:rPr>
        <w:t>系统支持图片等附件导入，并可支持在线预览图片。</w:t>
      </w:r>
    </w:p>
    <w:p>
      <w:pPr>
        <w:pStyle w:val="27"/>
        <w:numPr>
          <w:ilvl w:val="0"/>
          <w:numId w:val="17"/>
        </w:numPr>
      </w:pPr>
      <w:r>
        <w:rPr>
          <w:rFonts w:hint="eastAsia"/>
        </w:rPr>
        <w:t>系统支持对不同皮损类型进行风险评估，并支持评估值使用不同的危重等级颜色表示。</w:t>
      </w:r>
    </w:p>
    <w:p>
      <w:pPr>
        <w:pStyle w:val="27"/>
        <w:numPr>
          <w:ilvl w:val="0"/>
          <w:numId w:val="17"/>
        </w:numPr>
      </w:pPr>
      <w:r>
        <w:rPr>
          <w:rFonts w:hint="eastAsia"/>
        </w:rPr>
        <w:t>用户可一键复制上一次皮肤的观察记录，节省填写皮肤观察记录的工作量。</w:t>
      </w:r>
    </w:p>
    <w:p>
      <w:pPr>
        <w:pStyle w:val="27"/>
        <w:numPr>
          <w:ilvl w:val="0"/>
          <w:numId w:val="17"/>
        </w:numPr>
      </w:pPr>
      <w:r>
        <w:rPr>
          <w:rFonts w:hint="eastAsia"/>
        </w:rPr>
        <w:t>系统需支持人体示意图自定义配置功能：支持不同业务场景的人体示意图模板管理；支持对医学标准人体部位名称、范围、坐标、样式进行可视化定义，包括轮廓、填充效果的个性化设置；支持部位风格一致化设定。</w:t>
      </w:r>
    </w:p>
    <w:p>
      <w:pPr>
        <w:pStyle w:val="3"/>
        <w:ind w:firstLine="0"/>
      </w:pPr>
      <w:r>
        <w:rPr>
          <w:rFonts w:hint="eastAsia"/>
        </w:rPr>
        <w:t>17、护理工作概览</w:t>
      </w:r>
    </w:p>
    <w:p>
      <w:pPr>
        <w:pStyle w:val="27"/>
        <w:numPr>
          <w:ilvl w:val="0"/>
          <w:numId w:val="18"/>
        </w:numPr>
      </w:pPr>
      <w:r>
        <w:t>系统</w:t>
      </w:r>
      <w:r>
        <w:rPr>
          <w:rFonts w:hint="eastAsia"/>
        </w:rPr>
        <w:t>面向护理人员的</w:t>
      </w:r>
      <w:r>
        <w:t>工作</w:t>
      </w:r>
      <w:r>
        <w:rPr>
          <w:rFonts w:hint="eastAsia"/>
        </w:rPr>
        <w:t>关注点，提供护理工作信息的</w:t>
      </w:r>
      <w:r>
        <w:t>概览视图</w:t>
      </w:r>
      <w:r>
        <w:rPr>
          <w:rFonts w:hint="eastAsia"/>
        </w:rPr>
        <w:t>，并在同一个页面展示，供护理人员统一的调取和查看</w:t>
      </w:r>
      <w:r>
        <w:t>。</w:t>
      </w:r>
    </w:p>
    <w:p>
      <w:pPr>
        <w:pStyle w:val="27"/>
        <w:numPr>
          <w:ilvl w:val="0"/>
          <w:numId w:val="18"/>
        </w:numPr>
      </w:pPr>
      <w:r>
        <w:rPr>
          <w:rFonts w:hint="eastAsia"/>
        </w:rPr>
        <w:t>系统</w:t>
      </w:r>
      <w:r>
        <w:t>动态显示</w:t>
      </w:r>
      <w:r>
        <w:rPr>
          <w:rFonts w:hint="eastAsia"/>
        </w:rPr>
        <w:t>患者</w:t>
      </w:r>
      <w:r>
        <w:t>主要</w:t>
      </w:r>
      <w:r>
        <w:rPr>
          <w:rFonts w:hint="eastAsia"/>
        </w:rPr>
        <w:t>观测指标包含：</w:t>
      </w:r>
      <w:r>
        <w:t>生命体征</w:t>
      </w:r>
      <w:r>
        <w:rPr>
          <w:rFonts w:hint="eastAsia"/>
        </w:rPr>
        <w:t>、出入量、呼吸监测，并提供</w:t>
      </w:r>
      <w:r>
        <w:t>趋势</w:t>
      </w:r>
      <w:r>
        <w:rPr>
          <w:rFonts w:hint="eastAsia"/>
        </w:rPr>
        <w:t>分析图</w:t>
      </w:r>
      <w:r>
        <w:t>，</w:t>
      </w:r>
      <w:r>
        <w:rPr>
          <w:rFonts w:hint="eastAsia"/>
        </w:rPr>
        <w:t>并</w:t>
      </w:r>
      <w:r>
        <w:t>支持趋势图导出</w:t>
      </w:r>
      <w:r>
        <w:rPr>
          <w:rFonts w:hint="eastAsia"/>
        </w:rPr>
        <w:t>。</w:t>
      </w:r>
    </w:p>
    <w:p>
      <w:pPr>
        <w:pStyle w:val="27"/>
        <w:numPr>
          <w:ilvl w:val="0"/>
          <w:numId w:val="18"/>
        </w:numPr>
      </w:pPr>
      <w:r>
        <w:rPr>
          <w:rFonts w:hint="eastAsia"/>
        </w:rPr>
        <w:t>系统支持显示护理重要工作项目信息：医嘱执行、皮肤和导管信息、交班事项，以便于护理人员快速了解工作情况。</w:t>
      </w:r>
    </w:p>
    <w:p>
      <w:pPr>
        <w:pStyle w:val="3"/>
        <w:ind w:firstLine="0"/>
      </w:pPr>
      <w:r>
        <w:rPr>
          <w:rFonts w:hint="eastAsia"/>
        </w:rPr>
        <w:t>18、</w:t>
      </w:r>
      <w:r>
        <w:t>护理</w:t>
      </w:r>
      <w:r>
        <w:rPr>
          <w:rFonts w:hint="eastAsia"/>
        </w:rPr>
        <w:t>床旁交接</w:t>
      </w:r>
    </w:p>
    <w:p>
      <w:pPr>
        <w:pStyle w:val="27"/>
        <w:numPr>
          <w:ilvl w:val="0"/>
          <w:numId w:val="19"/>
        </w:numPr>
      </w:pPr>
      <w:r>
        <w:rPr>
          <w:rFonts w:hint="eastAsia"/>
        </w:rPr>
        <w:t>系统能够</w:t>
      </w:r>
      <w:r>
        <w:t>对</w:t>
      </w:r>
      <w:r>
        <w:rPr>
          <w:rFonts w:hint="eastAsia"/>
        </w:rPr>
        <w:t>I</w:t>
      </w:r>
      <w:r>
        <w:t>CU患者</w:t>
      </w:r>
      <w:r>
        <w:rPr>
          <w:rFonts w:hint="eastAsia"/>
        </w:rPr>
        <w:t>病情</w:t>
      </w:r>
      <w:r>
        <w:t>数据进行汇总，包括患者基本信息、诊断、生命体征、出入量、管路情况、</w:t>
      </w:r>
      <w:r>
        <w:rPr>
          <w:rFonts w:hint="eastAsia"/>
        </w:rPr>
        <w:t>用药</w:t>
      </w:r>
      <w:r>
        <w:t>及其它处置，支持护理人员对患者进行快速交接。</w:t>
      </w:r>
    </w:p>
    <w:p>
      <w:pPr>
        <w:pStyle w:val="27"/>
        <w:numPr>
          <w:ilvl w:val="0"/>
          <w:numId w:val="19"/>
        </w:numPr>
      </w:pPr>
      <w:r>
        <w:rPr>
          <w:rFonts w:hint="eastAsia"/>
        </w:rPr>
        <w:t>系统</w:t>
      </w:r>
      <w:r>
        <w:t>支持按照班次自动提取未完成医嘱以及其它待办事项，形成交班小结，指定接班护士，完成交接班流程。</w:t>
      </w:r>
    </w:p>
    <w:p>
      <w:pPr>
        <w:pStyle w:val="27"/>
        <w:numPr>
          <w:ilvl w:val="0"/>
          <w:numId w:val="19"/>
        </w:numPr>
      </w:pPr>
      <w:r>
        <w:rPr>
          <w:rFonts w:hint="eastAsia"/>
        </w:rPr>
        <w:t>系统支持护士进行临床信息关联读取功能，读取内容可自定义。</w:t>
      </w:r>
    </w:p>
    <w:p>
      <w:pPr>
        <w:pStyle w:val="27"/>
        <w:numPr>
          <w:ilvl w:val="0"/>
          <w:numId w:val="19"/>
        </w:numPr>
      </w:pPr>
      <w:r>
        <w:t>交接班记录可</w:t>
      </w:r>
      <w:r>
        <w:rPr>
          <w:rFonts w:hint="eastAsia"/>
        </w:rPr>
        <w:t>同步</w:t>
      </w:r>
      <w:r>
        <w:t>写入护理记录单或交接记录单，支持打印和归档。</w:t>
      </w:r>
    </w:p>
    <w:p>
      <w:pPr>
        <w:pStyle w:val="3"/>
        <w:ind w:firstLine="0"/>
      </w:pPr>
      <w:r>
        <w:rPr>
          <w:rFonts w:hint="eastAsia"/>
        </w:rPr>
        <w:t>19、</w:t>
      </w:r>
      <w:r>
        <w:rPr>
          <w:rFonts w:hint="eastAsia" w:ascii="仿宋_GB2312" w:hAnsi="华文仿宋" w:eastAsia="仿宋_GB2312" w:cs="Arial"/>
          <w:bCs/>
          <w:color w:val="auto"/>
          <w:sz w:val="32"/>
          <w:szCs w:val="32"/>
        </w:rPr>
        <w:t>●</w:t>
      </w:r>
      <w:r>
        <w:rPr>
          <w:rFonts w:hint="eastAsia"/>
        </w:rPr>
        <w:t>重症</w:t>
      </w:r>
      <w:r>
        <w:t>特护</w:t>
      </w:r>
      <w:r>
        <w:rPr>
          <w:rFonts w:hint="eastAsia"/>
        </w:rPr>
        <w:t>表</w:t>
      </w:r>
      <w:r>
        <w:t>单</w:t>
      </w:r>
    </w:p>
    <w:p>
      <w:pPr>
        <w:pStyle w:val="27"/>
        <w:numPr>
          <w:ilvl w:val="0"/>
          <w:numId w:val="20"/>
        </w:numPr>
      </w:pPr>
      <w:r>
        <w:rPr>
          <w:rFonts w:hint="eastAsia"/>
        </w:rPr>
        <w:t>系统能够</w:t>
      </w:r>
      <w:r>
        <w:t>全自动生成特护单，实现特护单上医嘱执行信息、生命体征数据、观察监测信息、出入量信息、护理措施记录信息的自动采集、模板化记录。</w:t>
      </w:r>
    </w:p>
    <w:p>
      <w:pPr>
        <w:pStyle w:val="27"/>
        <w:numPr>
          <w:ilvl w:val="0"/>
          <w:numId w:val="20"/>
        </w:numPr>
      </w:pPr>
      <w:r>
        <w:t>特护单格式支持根据护理部或科室要求定制，支持彩色图形或趋势图的制作，支持特护单内容缩放、打印预览与打印。</w:t>
      </w:r>
    </w:p>
    <w:p>
      <w:pPr>
        <w:pStyle w:val="27"/>
        <w:numPr>
          <w:ilvl w:val="0"/>
          <w:numId w:val="20"/>
        </w:numPr>
      </w:pPr>
      <w:r>
        <w:rPr>
          <w:rFonts w:hint="eastAsia"/>
        </w:rPr>
        <w:t>医护人员</w:t>
      </w:r>
      <w:r>
        <w:t>能够配置不同版本的特护单，特护单版式升级</w:t>
      </w:r>
      <w:r>
        <w:rPr>
          <w:rFonts w:hint="eastAsia"/>
        </w:rPr>
        <w:t>后，旧版已归档的电子特护单仍可保持原来的版式和内容，升级以后的电子特护单依据新版式自动生成，互不影响。</w:t>
      </w:r>
    </w:p>
    <w:p>
      <w:pPr>
        <w:pStyle w:val="27"/>
        <w:numPr>
          <w:ilvl w:val="0"/>
          <w:numId w:val="20"/>
        </w:numPr>
      </w:pPr>
      <w:r>
        <w:rPr>
          <w:rFonts w:hint="eastAsia"/>
        </w:rPr>
        <w:t>系统</w:t>
      </w:r>
      <w:r>
        <w:t>具备特护单归档功能，归档后的文书在授权用户（如护士长）进行解除归档操作后方可更新，防止特护单数据的随意修改，保证文书记录的一致性。</w:t>
      </w:r>
    </w:p>
    <w:p>
      <w:pPr>
        <w:pStyle w:val="3"/>
        <w:ind w:firstLine="0"/>
      </w:pPr>
      <w:r>
        <w:rPr>
          <w:rFonts w:hint="eastAsia"/>
        </w:rPr>
        <w:t>20、</w:t>
      </w:r>
      <w:r>
        <w:t>科室病案查询</w:t>
      </w:r>
      <w:r>
        <w:tab/>
      </w:r>
    </w:p>
    <w:p>
      <w:pPr>
        <w:pStyle w:val="27"/>
        <w:numPr>
          <w:ilvl w:val="0"/>
          <w:numId w:val="21"/>
        </w:numPr>
      </w:pPr>
      <w:r>
        <w:rPr>
          <w:rFonts w:hint="eastAsia"/>
        </w:rPr>
        <w:t>医护人员</w:t>
      </w:r>
      <w:r>
        <w:t>可根据</w:t>
      </w:r>
      <w:r>
        <w:rPr>
          <w:rFonts w:hint="eastAsia"/>
        </w:rPr>
        <w:t>患者</w:t>
      </w:r>
      <w:r>
        <w:t>姓名、性别、住院号、诊断、入科日期、出科日期</w:t>
      </w:r>
      <w:r>
        <w:rPr>
          <w:rFonts w:hint="eastAsia"/>
        </w:rPr>
        <w:t>的</w:t>
      </w:r>
      <w:r>
        <w:t>查询条件，查询</w:t>
      </w:r>
      <w:r>
        <w:rPr>
          <w:rFonts w:hint="eastAsia"/>
        </w:rPr>
        <w:t>患者重症病案</w:t>
      </w:r>
      <w:r>
        <w:t>信息</w:t>
      </w:r>
      <w:r>
        <w:rPr>
          <w:rFonts w:hint="eastAsia"/>
        </w:rPr>
        <w:t>，包括已出科和死亡的患者</w:t>
      </w:r>
      <w:r>
        <w:t>。</w:t>
      </w:r>
    </w:p>
    <w:p>
      <w:pPr>
        <w:pStyle w:val="27"/>
        <w:numPr>
          <w:ilvl w:val="0"/>
          <w:numId w:val="21"/>
        </w:numPr>
      </w:pPr>
      <w:r>
        <w:rPr>
          <w:rFonts w:hint="eastAsia"/>
        </w:rPr>
        <w:t>医护人员</w:t>
      </w:r>
      <w:r>
        <w:t>可设定</w:t>
      </w:r>
      <w:r>
        <w:rPr>
          <w:rFonts w:hint="eastAsia"/>
        </w:rPr>
        <w:t>患者</w:t>
      </w:r>
      <w:r>
        <w:t>心率、体温、</w:t>
      </w:r>
      <w:r>
        <w:rPr>
          <w:rFonts w:hint="eastAsia"/>
        </w:rPr>
        <w:t>血压</w:t>
      </w:r>
      <w:r>
        <w:t>体征的查询范围，</w:t>
      </w:r>
      <w:r>
        <w:rPr>
          <w:rFonts w:hint="eastAsia"/>
        </w:rPr>
        <w:t>结</w:t>
      </w:r>
      <w:r>
        <w:t>合</w:t>
      </w:r>
      <w:r>
        <w:rPr>
          <w:rFonts w:hint="eastAsia"/>
        </w:rPr>
        <w:t>患者信息</w:t>
      </w:r>
      <w:r>
        <w:t>及时间筛选条件，对满足筛查设定条件的异常值或正常值的条目进行定位。</w:t>
      </w:r>
    </w:p>
    <w:p>
      <w:pPr>
        <w:pStyle w:val="27"/>
        <w:numPr>
          <w:ilvl w:val="0"/>
          <w:numId w:val="21"/>
        </w:numPr>
      </w:pPr>
      <w:r>
        <w:t>具有权限的用户，可根据需要设定导出模板，将查询结果以Excel格式导出，以便进一步的分析或归档。</w:t>
      </w:r>
    </w:p>
    <w:p>
      <w:pPr>
        <w:pStyle w:val="3"/>
        <w:ind w:firstLine="0"/>
      </w:pPr>
      <w:r>
        <w:rPr>
          <w:rFonts w:hint="eastAsia"/>
        </w:rPr>
        <w:t>21、</w:t>
      </w:r>
      <w:r>
        <w:t>科室日常统计</w:t>
      </w:r>
      <w:r>
        <w:tab/>
      </w:r>
    </w:p>
    <w:p>
      <w:pPr>
        <w:pStyle w:val="27"/>
        <w:numPr>
          <w:ilvl w:val="0"/>
          <w:numId w:val="22"/>
        </w:numPr>
      </w:pPr>
      <w:r>
        <w:rPr>
          <w:rFonts w:hint="eastAsia"/>
        </w:rPr>
        <w:t>系统</w:t>
      </w:r>
      <w:r>
        <w:t>能够对收治患者</w:t>
      </w:r>
      <w:r>
        <w:rPr>
          <w:rFonts w:hint="eastAsia"/>
        </w:rPr>
        <w:t>人次</w:t>
      </w:r>
      <w:r>
        <w:t>、来源、去向进行统计</w:t>
      </w:r>
      <w:r>
        <w:rPr>
          <w:rFonts w:hint="eastAsia"/>
        </w:rPr>
        <w:t>；提供床位周转情况统计</w:t>
      </w:r>
      <w:r>
        <w:t>。</w:t>
      </w:r>
    </w:p>
    <w:p>
      <w:pPr>
        <w:pStyle w:val="27"/>
        <w:numPr>
          <w:ilvl w:val="0"/>
          <w:numId w:val="22"/>
        </w:numPr>
      </w:pPr>
      <w:r>
        <w:rPr>
          <w:rFonts w:hint="eastAsia"/>
        </w:rPr>
        <w:t>系统</w:t>
      </w:r>
      <w:r>
        <w:t>支持</w:t>
      </w:r>
      <w:r>
        <w:rPr>
          <w:rFonts w:hint="eastAsia"/>
        </w:rPr>
        <w:t>对重症</w:t>
      </w:r>
      <w:r>
        <w:t>评分严重度统计；支持</w:t>
      </w:r>
      <w:r>
        <w:rPr>
          <w:rFonts w:hint="eastAsia"/>
        </w:rPr>
        <w:t>按设定分值范围统计</w:t>
      </w:r>
      <w:r>
        <w:t>。</w:t>
      </w:r>
    </w:p>
    <w:p>
      <w:pPr>
        <w:pStyle w:val="27"/>
        <w:numPr>
          <w:ilvl w:val="0"/>
          <w:numId w:val="22"/>
        </w:numPr>
      </w:pPr>
      <w:bookmarkStart w:id="0" w:name="OLE_LINK3"/>
      <w:bookmarkStart w:id="1" w:name="OLE_LINK4"/>
      <w:r>
        <w:rPr>
          <w:rFonts w:hint="eastAsia"/>
        </w:rPr>
        <w:t>系统支持统计报表及图表两种呈现模式，且对具有权限的用户提供数据报表、统计图表导出功能。</w:t>
      </w:r>
      <w:bookmarkEnd w:id="0"/>
      <w:bookmarkEnd w:id="1"/>
    </w:p>
    <w:p>
      <w:pPr>
        <w:pStyle w:val="27"/>
        <w:numPr>
          <w:ilvl w:val="0"/>
          <w:numId w:val="22"/>
        </w:numPr>
      </w:pPr>
      <w:r>
        <w:rPr>
          <w:rFonts w:hint="eastAsia"/>
        </w:rPr>
        <w:t>系统支持自定义时间段数据按月汇总统计；支持不同年月数据对比统计。</w:t>
      </w:r>
    </w:p>
    <w:p>
      <w:pPr>
        <w:pStyle w:val="3"/>
        <w:ind w:firstLine="0"/>
      </w:pPr>
      <w:r>
        <w:rPr>
          <w:rFonts w:hint="eastAsia"/>
        </w:rPr>
        <w:t>22、</w:t>
      </w:r>
      <w:r>
        <w:rPr>
          <w:rFonts w:hint="eastAsia" w:ascii="仿宋_GB2312" w:hAnsi="华文仿宋" w:eastAsia="仿宋_GB2312" w:cs="Arial"/>
          <w:bCs/>
          <w:color w:val="auto"/>
          <w:sz w:val="32"/>
          <w:szCs w:val="32"/>
        </w:rPr>
        <w:t>●</w:t>
      </w:r>
      <w:r>
        <w:rPr>
          <w:rFonts w:hint="eastAsia"/>
        </w:rPr>
        <w:t>质控指标配置</w:t>
      </w:r>
    </w:p>
    <w:p>
      <w:pPr>
        <w:pStyle w:val="27"/>
        <w:numPr>
          <w:ilvl w:val="0"/>
          <w:numId w:val="23"/>
        </w:numPr>
      </w:pPr>
      <w:r>
        <w:rPr>
          <w:rFonts w:hint="eastAsia"/>
        </w:rPr>
        <w:t>系统提供标准化定义的业务数据集，支持用户灵活定义；支持多源数据配置。</w:t>
      </w:r>
    </w:p>
    <w:p>
      <w:pPr>
        <w:pStyle w:val="27"/>
        <w:numPr>
          <w:ilvl w:val="0"/>
          <w:numId w:val="23"/>
        </w:numPr>
      </w:pPr>
      <w:r>
        <w:rPr>
          <w:rFonts w:hint="eastAsia"/>
        </w:rPr>
        <w:t>系统需提供指标公式用户自定义配置界面；需提供指标计算规则自定义配置界面。</w:t>
      </w:r>
    </w:p>
    <w:p>
      <w:pPr>
        <w:pStyle w:val="27"/>
        <w:numPr>
          <w:ilvl w:val="0"/>
          <w:numId w:val="23"/>
        </w:numPr>
      </w:pPr>
      <w:r>
        <w:rPr>
          <w:rFonts w:hint="eastAsia"/>
        </w:rPr>
        <w:t>系统需提供报表及图表自定义配置界面功能。</w:t>
      </w:r>
    </w:p>
    <w:p>
      <w:pPr>
        <w:pStyle w:val="27"/>
        <w:numPr>
          <w:ilvl w:val="0"/>
          <w:numId w:val="23"/>
        </w:numPr>
      </w:pPr>
      <w:r>
        <w:rPr>
          <w:rFonts w:hint="eastAsia"/>
        </w:rPr>
        <w:t>系统需支持质控分析主题切换功能。</w:t>
      </w:r>
    </w:p>
    <w:p>
      <w:pPr>
        <w:pStyle w:val="3"/>
        <w:ind w:firstLine="0"/>
      </w:pPr>
      <w:r>
        <w:t>2</w:t>
      </w:r>
      <w:r>
        <w:rPr>
          <w:rFonts w:hint="eastAsia"/>
        </w:rPr>
        <w:t>3、</w:t>
      </w:r>
      <w:r>
        <w:rPr>
          <w:rFonts w:hint="eastAsia" w:ascii="仿宋_GB2312" w:hAnsi="华文仿宋" w:eastAsia="仿宋_GB2312" w:cs="Arial"/>
          <w:bCs/>
          <w:color w:val="auto"/>
          <w:sz w:val="32"/>
          <w:szCs w:val="32"/>
        </w:rPr>
        <w:t>●</w:t>
      </w:r>
      <w:r>
        <w:t>常规质控</w:t>
      </w:r>
      <w:r>
        <w:rPr>
          <w:rFonts w:hint="eastAsia"/>
        </w:rPr>
        <w:t>指标</w:t>
      </w:r>
      <w:r>
        <w:tab/>
      </w:r>
    </w:p>
    <w:p>
      <w:pPr>
        <w:pStyle w:val="27"/>
        <w:numPr>
          <w:ilvl w:val="0"/>
          <w:numId w:val="24"/>
        </w:numPr>
      </w:pPr>
      <w:r>
        <w:rPr>
          <w:rFonts w:hint="eastAsia"/>
        </w:rPr>
        <w:t>系统</w:t>
      </w:r>
      <w:r>
        <w:t>提供常规质控指标统计：</w:t>
      </w:r>
    </w:p>
    <w:p>
      <w:pPr>
        <w:pStyle w:val="27"/>
        <w:numPr>
          <w:ilvl w:val="0"/>
          <w:numId w:val="25"/>
        </w:numPr>
        <w:ind w:left="1276" w:hanging="425"/>
      </w:pPr>
      <w:r>
        <w:t>ICU床位数及医护床位比；</w:t>
      </w:r>
    </w:p>
    <w:p>
      <w:pPr>
        <w:pStyle w:val="27"/>
        <w:numPr>
          <w:ilvl w:val="0"/>
          <w:numId w:val="25"/>
        </w:numPr>
        <w:ind w:left="1276" w:hanging="425"/>
      </w:pPr>
      <w:r>
        <w:t>平均住院天；</w:t>
      </w:r>
    </w:p>
    <w:p>
      <w:pPr>
        <w:pStyle w:val="27"/>
        <w:numPr>
          <w:ilvl w:val="0"/>
          <w:numId w:val="25"/>
        </w:numPr>
        <w:ind w:left="1276" w:hanging="425"/>
      </w:pPr>
      <w:r>
        <w:t>床位使用率；</w:t>
      </w:r>
    </w:p>
    <w:p>
      <w:pPr>
        <w:pStyle w:val="27"/>
        <w:numPr>
          <w:ilvl w:val="0"/>
          <w:numId w:val="25"/>
        </w:numPr>
        <w:ind w:left="1276" w:hanging="425"/>
      </w:pPr>
      <w:r>
        <w:t>24小时/48小时重返数；</w:t>
      </w:r>
    </w:p>
    <w:p>
      <w:pPr>
        <w:pStyle w:val="27"/>
        <w:numPr>
          <w:ilvl w:val="0"/>
          <w:numId w:val="25"/>
        </w:numPr>
        <w:ind w:left="1276" w:hanging="425"/>
      </w:pPr>
      <w:r>
        <w:t>24小时/48小时重返患者率；</w:t>
      </w:r>
    </w:p>
    <w:p>
      <w:pPr>
        <w:pStyle w:val="27"/>
        <w:numPr>
          <w:ilvl w:val="0"/>
          <w:numId w:val="25"/>
        </w:numPr>
        <w:ind w:left="1276" w:hanging="425"/>
      </w:pPr>
      <w:r>
        <w:t>收治患者数及患者来源分布；</w:t>
      </w:r>
    </w:p>
    <w:p>
      <w:pPr>
        <w:pStyle w:val="27"/>
        <w:numPr>
          <w:ilvl w:val="0"/>
          <w:numId w:val="25"/>
        </w:numPr>
        <w:ind w:left="1276" w:hanging="425"/>
      </w:pPr>
      <w:r>
        <w:t>出科性质分布，包括死亡患者数、转出患者数；</w:t>
      </w:r>
    </w:p>
    <w:p>
      <w:pPr>
        <w:pStyle w:val="27"/>
        <w:numPr>
          <w:ilvl w:val="0"/>
          <w:numId w:val="25"/>
        </w:numPr>
        <w:ind w:left="1276" w:hanging="425"/>
      </w:pPr>
      <w:r>
        <w:t>导尿管留置日数及留置率；</w:t>
      </w:r>
    </w:p>
    <w:p>
      <w:pPr>
        <w:pStyle w:val="27"/>
        <w:numPr>
          <w:ilvl w:val="0"/>
          <w:numId w:val="25"/>
        </w:numPr>
        <w:ind w:left="1276" w:hanging="425"/>
      </w:pPr>
      <w:r>
        <w:t>血管内导管留置日数及留置率。</w:t>
      </w:r>
    </w:p>
    <w:p>
      <w:pPr>
        <w:pStyle w:val="27"/>
        <w:numPr>
          <w:ilvl w:val="0"/>
          <w:numId w:val="24"/>
        </w:numPr>
      </w:pPr>
      <w:r>
        <w:rPr>
          <w:rFonts w:hint="eastAsia"/>
        </w:rPr>
        <w:t>系统支持常规指标概览视图，用实时数据、图表的形式，清晰明了的呈现科室重要指标的当前情况；系统</w:t>
      </w:r>
      <w:r>
        <w:t>支持单个指标</w:t>
      </w:r>
      <w:r>
        <w:rPr>
          <w:rFonts w:hint="eastAsia"/>
        </w:rPr>
        <w:t>统计汇总信息查看。</w:t>
      </w:r>
    </w:p>
    <w:p>
      <w:pPr>
        <w:pStyle w:val="27"/>
        <w:numPr>
          <w:ilvl w:val="0"/>
          <w:numId w:val="24"/>
        </w:numPr>
      </w:pPr>
      <w:r>
        <w:rPr>
          <w:rFonts w:hint="eastAsia"/>
        </w:rPr>
        <w:t>系统对具有权限的用户提供数据报表、统计图表导出功能。</w:t>
      </w:r>
    </w:p>
    <w:p>
      <w:pPr>
        <w:pStyle w:val="3"/>
        <w:ind w:firstLine="0"/>
      </w:pPr>
      <w:r>
        <w:rPr>
          <w:rFonts w:hint="eastAsia"/>
        </w:rPr>
        <w:t>24、▲三级综合医院指标</w:t>
      </w:r>
      <w:r>
        <w:tab/>
      </w:r>
    </w:p>
    <w:p>
      <w:pPr>
        <w:pStyle w:val="27"/>
        <w:numPr>
          <w:ilvl w:val="0"/>
          <w:numId w:val="26"/>
        </w:numPr>
      </w:pPr>
      <w:r>
        <w:rPr>
          <w:rFonts w:hint="eastAsia"/>
        </w:rPr>
        <w:t>系统</w:t>
      </w:r>
      <w:r>
        <w:t>提供</w:t>
      </w:r>
      <w:r>
        <w:rPr>
          <w:rFonts w:hint="eastAsia"/>
        </w:rPr>
        <w:t>三级综合医院等级评审重症相关质控指标</w:t>
      </w:r>
      <w:r>
        <w:t>统计：</w:t>
      </w:r>
    </w:p>
    <w:p>
      <w:pPr>
        <w:pStyle w:val="27"/>
        <w:numPr>
          <w:ilvl w:val="0"/>
          <w:numId w:val="25"/>
        </w:numPr>
        <w:ind w:left="1276" w:hanging="425"/>
      </w:pPr>
      <w:r>
        <w:t>非预期的 24/48 小时重返重症医学科率</w:t>
      </w:r>
      <w:r>
        <w:rPr>
          <w:rFonts w:hint="eastAsia"/>
        </w:rPr>
        <w:t>（</w:t>
      </w:r>
      <w:r>
        <w:t>%）；</w:t>
      </w:r>
    </w:p>
    <w:p>
      <w:pPr>
        <w:pStyle w:val="27"/>
        <w:numPr>
          <w:ilvl w:val="0"/>
          <w:numId w:val="25"/>
        </w:numPr>
        <w:ind w:left="1276" w:hanging="425"/>
      </w:pPr>
      <w:r>
        <w:t>呼吸机相关肺炎（ＶＡＰ）的预防率（‰）；</w:t>
      </w:r>
    </w:p>
    <w:p>
      <w:pPr>
        <w:pStyle w:val="27"/>
        <w:numPr>
          <w:ilvl w:val="0"/>
          <w:numId w:val="25"/>
        </w:numPr>
        <w:ind w:left="1276" w:hanging="425"/>
      </w:pPr>
      <w:r>
        <w:t>呼吸机相关肺炎（ＶＡＰ）发病率（‰）；</w:t>
      </w:r>
    </w:p>
    <w:p>
      <w:pPr>
        <w:pStyle w:val="27"/>
        <w:numPr>
          <w:ilvl w:val="0"/>
          <w:numId w:val="25"/>
        </w:numPr>
        <w:ind w:left="1276" w:hanging="425"/>
      </w:pPr>
      <w:r>
        <w:rPr>
          <w:rFonts w:hint="eastAsia"/>
        </w:rPr>
        <w:t>中心静脉置管相关血流感染发生率（‰）</w:t>
      </w:r>
      <w:r>
        <w:t>；</w:t>
      </w:r>
    </w:p>
    <w:p>
      <w:pPr>
        <w:pStyle w:val="27"/>
        <w:numPr>
          <w:ilvl w:val="0"/>
          <w:numId w:val="25"/>
        </w:numPr>
        <w:ind w:left="1276" w:hanging="425"/>
      </w:pPr>
      <w:r>
        <w:rPr>
          <w:rFonts w:hint="eastAsia"/>
        </w:rPr>
        <w:t>留置导尿管相关泌尿系感染发病率（‰）</w:t>
      </w:r>
      <w:r>
        <w:t>；</w:t>
      </w:r>
    </w:p>
    <w:p>
      <w:pPr>
        <w:pStyle w:val="27"/>
        <w:numPr>
          <w:ilvl w:val="0"/>
          <w:numId w:val="25"/>
        </w:numPr>
        <w:ind w:left="1276" w:hanging="425"/>
      </w:pPr>
      <w:r>
        <w:rPr>
          <w:rFonts w:hint="eastAsia"/>
        </w:rPr>
        <w:t>重症患者死亡率（</w:t>
      </w:r>
      <w:r>
        <w:t>%）；</w:t>
      </w:r>
    </w:p>
    <w:p>
      <w:pPr>
        <w:pStyle w:val="27"/>
        <w:numPr>
          <w:ilvl w:val="0"/>
          <w:numId w:val="25"/>
        </w:numPr>
        <w:ind w:left="1276" w:hanging="425"/>
      </w:pPr>
      <w:r>
        <w:rPr>
          <w:rFonts w:hint="eastAsia"/>
        </w:rPr>
        <w:t>重症患者压疮发生率（</w:t>
      </w:r>
      <w:r>
        <w:t>%）；</w:t>
      </w:r>
    </w:p>
    <w:p>
      <w:pPr>
        <w:pStyle w:val="27"/>
        <w:numPr>
          <w:ilvl w:val="0"/>
          <w:numId w:val="25"/>
        </w:numPr>
        <w:ind w:left="1276" w:hanging="425"/>
      </w:pPr>
      <w:r>
        <w:rPr>
          <w:rFonts w:hint="eastAsia"/>
        </w:rPr>
        <w:t>人工气道脱出例数</w:t>
      </w:r>
      <w:r>
        <w:t>。</w:t>
      </w:r>
    </w:p>
    <w:p>
      <w:pPr>
        <w:pStyle w:val="27"/>
        <w:numPr>
          <w:ilvl w:val="0"/>
          <w:numId w:val="26"/>
        </w:numPr>
      </w:pPr>
      <w:r>
        <w:rPr>
          <w:rFonts w:hint="eastAsia"/>
        </w:rPr>
        <w:t>系统支持三级综合医院评审指标概览视图，用实时数据、图表的形式，清晰明了的呈现科室重要指标的当前情况；系统</w:t>
      </w:r>
      <w:r>
        <w:t>支持单个指标</w:t>
      </w:r>
      <w:r>
        <w:rPr>
          <w:rFonts w:hint="eastAsia"/>
        </w:rPr>
        <w:t>统计汇总信息查看。</w:t>
      </w:r>
    </w:p>
    <w:p>
      <w:pPr>
        <w:pStyle w:val="27"/>
        <w:numPr>
          <w:ilvl w:val="0"/>
          <w:numId w:val="26"/>
        </w:numPr>
      </w:pPr>
      <w:r>
        <w:rPr>
          <w:rFonts w:hint="eastAsia"/>
        </w:rPr>
        <w:t>系统对具有权限的用户提供数据报表、统计图表导出功能。</w:t>
      </w:r>
    </w:p>
    <w:p>
      <w:pPr>
        <w:pStyle w:val="3"/>
        <w:ind w:firstLine="0"/>
      </w:pPr>
      <w:r>
        <w:rPr>
          <w:rFonts w:hint="eastAsia"/>
        </w:rPr>
        <w:t>25、▲卫健委质控统计（2</w:t>
      </w:r>
      <w:r>
        <w:t>015</w:t>
      </w:r>
      <w:r>
        <w:rPr>
          <w:rFonts w:hint="eastAsia"/>
        </w:rPr>
        <w:t>版）</w:t>
      </w:r>
    </w:p>
    <w:p>
      <w:pPr>
        <w:pStyle w:val="27"/>
        <w:numPr>
          <w:ilvl w:val="0"/>
          <w:numId w:val="27"/>
        </w:numPr>
        <w:ind w:left="709"/>
      </w:pPr>
      <w:r>
        <w:t>在医院可提供数据来源的条件下，系统可涵盖卫</w:t>
      </w:r>
      <w:r>
        <w:rPr>
          <w:rFonts w:hint="eastAsia"/>
        </w:rPr>
        <w:t>健委</w:t>
      </w:r>
      <w:r>
        <w:t>要求的质控指标，包括：</w:t>
      </w:r>
    </w:p>
    <w:p>
      <w:pPr>
        <w:pStyle w:val="27"/>
        <w:numPr>
          <w:ilvl w:val="0"/>
          <w:numId w:val="28"/>
        </w:numPr>
        <w:ind w:left="1276" w:hanging="425"/>
      </w:pPr>
      <w:r>
        <w:t>ICU患者收治率和ICU患者收治床日率</w:t>
      </w:r>
      <w:r>
        <w:rPr>
          <w:rFonts w:hint="eastAsia"/>
        </w:rPr>
        <w:t>；</w:t>
      </w:r>
    </w:p>
    <w:p>
      <w:pPr>
        <w:pStyle w:val="27"/>
        <w:numPr>
          <w:ilvl w:val="0"/>
          <w:numId w:val="28"/>
        </w:numPr>
        <w:ind w:left="1276" w:hanging="425"/>
      </w:pPr>
      <w:r>
        <w:t>急性生理与慢性健康评分（APACHEⅡ）≥15分的患者收治率（入ICU24小时内）；</w:t>
      </w:r>
    </w:p>
    <w:p>
      <w:pPr>
        <w:pStyle w:val="27"/>
        <w:numPr>
          <w:ilvl w:val="0"/>
          <w:numId w:val="28"/>
        </w:numPr>
        <w:ind w:left="1276" w:hanging="425"/>
      </w:pPr>
      <w:r>
        <w:rPr>
          <w:rFonts w:hint="eastAsia"/>
          <w:highlight w:val="yellow"/>
        </w:rPr>
        <w:t>感染性休克</w:t>
      </w:r>
      <w:r>
        <w:rPr>
          <w:rFonts w:hint="eastAsia"/>
          <w:highlight w:val="yellow"/>
          <w:lang w:val="en-US" w:eastAsia="zh-CN"/>
        </w:rPr>
        <w:t>1</w:t>
      </w:r>
      <w:r>
        <w:rPr>
          <w:rFonts w:hint="eastAsia"/>
          <w:highlight w:val="yellow"/>
        </w:rPr>
        <w:t>h集束化治疗（bundle）完成率；</w:t>
      </w:r>
    </w:p>
    <w:p>
      <w:pPr>
        <w:pStyle w:val="27"/>
        <w:numPr>
          <w:ilvl w:val="0"/>
          <w:numId w:val="28"/>
        </w:numPr>
        <w:ind w:left="1276" w:hanging="425"/>
      </w:pPr>
      <w:r>
        <w:rPr>
          <w:rFonts w:hint="eastAsia"/>
        </w:rPr>
        <w:t>感染性休克3h集束化治疗（bundle）完成率；</w:t>
      </w:r>
    </w:p>
    <w:p>
      <w:pPr>
        <w:pStyle w:val="27"/>
        <w:numPr>
          <w:ilvl w:val="0"/>
          <w:numId w:val="28"/>
        </w:numPr>
        <w:ind w:left="1276" w:hanging="425"/>
      </w:pPr>
      <w:r>
        <w:rPr>
          <w:rFonts w:hint="eastAsia"/>
        </w:rPr>
        <w:t>感染性休克</w:t>
      </w:r>
      <w:r>
        <w:t>6</w:t>
      </w:r>
      <w:r>
        <w:rPr>
          <w:rFonts w:hint="eastAsia"/>
        </w:rPr>
        <w:t>h集束化治疗（bundle）完成率；</w:t>
      </w:r>
    </w:p>
    <w:p>
      <w:pPr>
        <w:pStyle w:val="27"/>
        <w:numPr>
          <w:ilvl w:val="0"/>
          <w:numId w:val="28"/>
        </w:numPr>
        <w:ind w:left="1276" w:hanging="425"/>
      </w:pPr>
      <w:r>
        <w:t>ICU抗菌药物治疗前病原学送检率；</w:t>
      </w:r>
    </w:p>
    <w:p>
      <w:pPr>
        <w:pStyle w:val="27"/>
        <w:numPr>
          <w:ilvl w:val="0"/>
          <w:numId w:val="28"/>
        </w:numPr>
        <w:ind w:left="1276" w:hanging="425"/>
      </w:pPr>
      <w:r>
        <w:t>ICU深静脉血栓（DVT）预防率；</w:t>
      </w:r>
    </w:p>
    <w:p>
      <w:pPr>
        <w:pStyle w:val="27"/>
        <w:numPr>
          <w:ilvl w:val="0"/>
          <w:numId w:val="28"/>
        </w:numPr>
        <w:ind w:left="1276" w:hanging="425"/>
      </w:pPr>
      <w:r>
        <w:t>ICU患者预计病死率；</w:t>
      </w:r>
    </w:p>
    <w:p>
      <w:pPr>
        <w:pStyle w:val="27"/>
        <w:numPr>
          <w:ilvl w:val="0"/>
          <w:numId w:val="28"/>
        </w:numPr>
        <w:ind w:left="1276" w:hanging="425"/>
      </w:pPr>
      <w:r>
        <w:t>ICU患者标化病死指数（Standardized Mortality Ratio）；</w:t>
      </w:r>
    </w:p>
    <w:p>
      <w:pPr>
        <w:pStyle w:val="27"/>
        <w:numPr>
          <w:ilvl w:val="0"/>
          <w:numId w:val="28"/>
        </w:numPr>
        <w:ind w:left="1276" w:hanging="425"/>
      </w:pPr>
      <w:r>
        <w:t>ICU非计划气管插管拔管率；</w:t>
      </w:r>
    </w:p>
    <w:p>
      <w:pPr>
        <w:pStyle w:val="27"/>
        <w:numPr>
          <w:ilvl w:val="0"/>
          <w:numId w:val="28"/>
        </w:numPr>
        <w:ind w:left="1276" w:hanging="425"/>
      </w:pPr>
      <w:r>
        <w:t>ICU气管插管拔管后48h内再插管率；</w:t>
      </w:r>
    </w:p>
    <w:p>
      <w:pPr>
        <w:pStyle w:val="27"/>
        <w:numPr>
          <w:ilvl w:val="0"/>
          <w:numId w:val="28"/>
        </w:numPr>
        <w:ind w:left="1276" w:hanging="425"/>
      </w:pPr>
      <w:r>
        <w:t>非计划转入ICU率；</w:t>
      </w:r>
    </w:p>
    <w:p>
      <w:pPr>
        <w:pStyle w:val="27"/>
        <w:numPr>
          <w:ilvl w:val="0"/>
          <w:numId w:val="28"/>
        </w:numPr>
        <w:ind w:left="1276" w:hanging="425"/>
      </w:pPr>
      <w:r>
        <w:t>转出ICU后48h内重返率；</w:t>
      </w:r>
    </w:p>
    <w:p>
      <w:pPr>
        <w:pStyle w:val="27"/>
        <w:numPr>
          <w:ilvl w:val="0"/>
          <w:numId w:val="28"/>
        </w:numPr>
        <w:ind w:left="1276" w:hanging="425"/>
      </w:pPr>
      <w:r>
        <w:t>ICU呼吸机相关性肺炎（VAP）发病率；</w:t>
      </w:r>
    </w:p>
    <w:p>
      <w:pPr>
        <w:pStyle w:val="27"/>
        <w:numPr>
          <w:ilvl w:val="0"/>
          <w:numId w:val="28"/>
        </w:numPr>
        <w:ind w:left="1276" w:hanging="425"/>
      </w:pPr>
      <w:r>
        <w:t>ICU血管内导管相关血流感染（CRBSI）发病率；</w:t>
      </w:r>
    </w:p>
    <w:p>
      <w:pPr>
        <w:pStyle w:val="27"/>
        <w:numPr>
          <w:ilvl w:val="0"/>
          <w:numId w:val="28"/>
        </w:numPr>
        <w:ind w:left="1276" w:hanging="425"/>
      </w:pPr>
      <w:r>
        <w:t>ICU导尿管相关泌尿系感染（CAUTI）发病率。</w:t>
      </w:r>
    </w:p>
    <w:p>
      <w:pPr>
        <w:pStyle w:val="27"/>
        <w:numPr>
          <w:ilvl w:val="0"/>
          <w:numId w:val="27"/>
        </w:numPr>
        <w:ind w:left="709"/>
      </w:pPr>
      <w:r>
        <w:rPr>
          <w:rFonts w:hint="eastAsia"/>
        </w:rPr>
        <w:t>用户能够</w:t>
      </w:r>
      <w:r>
        <w:t>查看单个统计指标趋势图，统计结果支持导出</w:t>
      </w:r>
      <w:r>
        <w:rPr>
          <w:rFonts w:hint="eastAsia"/>
        </w:rPr>
        <w:t>，支持质控结果上报到区域质控中心</w:t>
      </w:r>
      <w:r>
        <w:t>。</w:t>
      </w:r>
    </w:p>
    <w:p>
      <w:pPr>
        <w:pStyle w:val="3"/>
        <w:ind w:firstLine="0"/>
      </w:pPr>
      <w:r>
        <w:rPr>
          <w:rFonts w:hint="eastAsia"/>
        </w:rPr>
        <w:t>26、设备数据网关</w:t>
      </w:r>
    </w:p>
    <w:p>
      <w:pPr>
        <w:pStyle w:val="27"/>
        <w:numPr>
          <w:ilvl w:val="0"/>
          <w:numId w:val="29"/>
        </w:numPr>
      </w:pPr>
      <w:r>
        <w:rPr>
          <w:rFonts w:hint="eastAsia"/>
        </w:rPr>
        <w:t>系统支持自动采集床边监护设备的数据，服务器同步数据存储，支持根据业务需要设定</w:t>
      </w:r>
      <w:r>
        <w:t>采样频率</w:t>
      </w:r>
      <w:r>
        <w:rPr>
          <w:rFonts w:hint="eastAsia"/>
        </w:rPr>
        <w:t>。</w:t>
      </w:r>
    </w:p>
    <w:p>
      <w:pPr>
        <w:pStyle w:val="27"/>
        <w:numPr>
          <w:ilvl w:val="0"/>
          <w:numId w:val="29"/>
        </w:numPr>
      </w:pPr>
      <w:r>
        <w:rPr>
          <w:rFonts w:hint="eastAsia"/>
        </w:rPr>
        <w:t>系统提供多种设备接口的内置支持，支持网络、串口多种数据采集方式。</w:t>
      </w:r>
    </w:p>
    <w:p>
      <w:pPr>
        <w:pStyle w:val="27"/>
        <w:numPr>
          <w:ilvl w:val="0"/>
          <w:numId w:val="29"/>
        </w:numPr>
      </w:pPr>
      <w:r>
        <w:rPr>
          <w:rFonts w:hint="eastAsia"/>
        </w:rPr>
        <w:t>系统支持接入主流厂商的监护设备，如</w:t>
      </w:r>
      <w:r>
        <w:t>Mindray</w:t>
      </w:r>
      <w:r>
        <w:rPr>
          <w:rFonts w:hint="eastAsia"/>
        </w:rPr>
        <w:t>，Philips，GE，Drager。</w:t>
      </w:r>
    </w:p>
    <w:p>
      <w:pPr>
        <w:pStyle w:val="27"/>
        <w:numPr>
          <w:ilvl w:val="0"/>
          <w:numId w:val="29"/>
        </w:numPr>
      </w:pPr>
      <w:r>
        <w:rPr>
          <w:rFonts w:hint="eastAsia"/>
        </w:rPr>
        <w:t>系统支持采集多种生命体征参数，包括：心率、呼吸、血氧、脉搏、无创血压、有创血压、体温、中心静脉平均压、潮气、心排量。</w:t>
      </w:r>
    </w:p>
    <w:p>
      <w:pPr>
        <w:pStyle w:val="3"/>
        <w:ind w:firstLine="0"/>
      </w:pPr>
      <w:r>
        <w:rPr>
          <w:rFonts w:hint="eastAsia"/>
        </w:rPr>
        <w:t>27、夜班工作模式</w:t>
      </w:r>
    </w:p>
    <w:p>
      <w:pPr>
        <w:pStyle w:val="27"/>
        <w:numPr>
          <w:ilvl w:val="0"/>
          <w:numId w:val="30"/>
        </w:numPr>
      </w:pPr>
      <w:r>
        <w:t>依据人体工程学方法论，</w:t>
      </w:r>
      <w:r>
        <w:rPr>
          <w:rFonts w:hint="eastAsia"/>
        </w:rPr>
        <w:t>系统</w:t>
      </w:r>
      <w:r>
        <w:t>支持一键切换至夜班工作模式，保护医护人员视力，提高床旁工作效率和记录准确性。</w:t>
      </w:r>
    </w:p>
    <w:p>
      <w:pPr>
        <w:pStyle w:val="27"/>
        <w:numPr>
          <w:ilvl w:val="0"/>
          <w:numId w:val="30"/>
        </w:numPr>
      </w:pPr>
      <w:r>
        <w:rPr>
          <w:rFonts w:hint="eastAsia"/>
        </w:rPr>
        <w:t>系统</w:t>
      </w:r>
      <w:r>
        <w:t>支持</w:t>
      </w:r>
      <w:r>
        <w:rPr>
          <w:rFonts w:hint="eastAsia"/>
        </w:rPr>
        <w:t>用户手动</w:t>
      </w:r>
      <w:r>
        <w:t>进入/退出夜班模式。</w:t>
      </w:r>
    </w:p>
    <w:p>
      <w:pPr>
        <w:pStyle w:val="3"/>
        <w:ind w:firstLine="0"/>
      </w:pPr>
      <w:r>
        <w:rPr>
          <w:rFonts w:hint="eastAsia"/>
        </w:rPr>
        <w:t>28、监护设备管理</w:t>
      </w:r>
    </w:p>
    <w:p>
      <w:pPr>
        <w:pStyle w:val="27"/>
        <w:numPr>
          <w:ilvl w:val="0"/>
          <w:numId w:val="31"/>
        </w:numPr>
      </w:pPr>
      <w:r>
        <w:rPr>
          <w:rFonts w:hint="eastAsia"/>
        </w:rPr>
        <w:t>系统</w:t>
      </w:r>
      <w:r>
        <w:t>支持对科室床旁设备进行分类管理，对设备信息进行登记，包括厂商、型号、采购日期。</w:t>
      </w:r>
    </w:p>
    <w:p>
      <w:pPr>
        <w:pStyle w:val="27"/>
        <w:numPr>
          <w:ilvl w:val="0"/>
          <w:numId w:val="31"/>
        </w:numPr>
      </w:pPr>
      <w:r>
        <w:rPr>
          <w:rFonts w:hint="eastAsia"/>
        </w:rPr>
        <w:t>系统能够</w:t>
      </w:r>
      <w:r>
        <w:t>记录设备的使用情况，如使用状态、使用时长。</w:t>
      </w:r>
    </w:p>
    <w:p>
      <w:pPr>
        <w:pStyle w:val="27"/>
        <w:numPr>
          <w:ilvl w:val="0"/>
          <w:numId w:val="31"/>
        </w:numPr>
      </w:pPr>
      <w:r>
        <w:rPr>
          <w:rFonts w:hint="eastAsia"/>
        </w:rPr>
        <w:t>系统</w:t>
      </w:r>
      <w:r>
        <w:t>支持将设备信息导出归档。</w:t>
      </w:r>
    </w:p>
    <w:p>
      <w:pPr>
        <w:pStyle w:val="3"/>
        <w:ind w:firstLine="0"/>
      </w:pPr>
      <w:r>
        <w:rPr>
          <w:rFonts w:hint="eastAsia"/>
        </w:rPr>
        <w:t>29、用户权限管理</w:t>
      </w:r>
      <w:r>
        <w:tab/>
      </w:r>
    </w:p>
    <w:p>
      <w:pPr>
        <w:pStyle w:val="27"/>
        <w:numPr>
          <w:ilvl w:val="0"/>
          <w:numId w:val="32"/>
        </w:numPr>
      </w:pPr>
      <w:r>
        <w:rPr>
          <w:rFonts w:hint="eastAsia"/>
        </w:rPr>
        <w:t>系统支持管理员</w:t>
      </w:r>
      <w:r>
        <w:t>根据</w:t>
      </w:r>
      <w:r>
        <w:rPr>
          <w:rFonts w:hint="eastAsia"/>
        </w:rPr>
        <w:t>工作</w:t>
      </w:r>
      <w:r>
        <w:t>职责</w:t>
      </w:r>
      <w:r>
        <w:rPr>
          <w:rFonts w:hint="eastAsia"/>
        </w:rPr>
        <w:t>为用户</w:t>
      </w:r>
      <w:r>
        <w:t>分配不同的用户角色。</w:t>
      </w:r>
    </w:p>
    <w:p>
      <w:pPr>
        <w:pStyle w:val="27"/>
        <w:numPr>
          <w:ilvl w:val="0"/>
          <w:numId w:val="32"/>
        </w:numPr>
      </w:pPr>
      <w:r>
        <w:rPr>
          <w:rFonts w:hint="eastAsia"/>
        </w:rPr>
        <w:t>系统</w:t>
      </w:r>
      <w:r>
        <w:t>支持根据角色配置对应的功能权限，方便用户集中处理所负责的工作。</w:t>
      </w:r>
    </w:p>
    <w:p>
      <w:pPr>
        <w:pStyle w:val="27"/>
        <w:numPr>
          <w:ilvl w:val="0"/>
          <w:numId w:val="32"/>
        </w:numPr>
      </w:pPr>
      <w:r>
        <w:rPr>
          <w:rFonts w:hint="eastAsia"/>
        </w:rPr>
        <w:t>管理员</w:t>
      </w:r>
      <w:r>
        <w:t>可以根据班次、所负责</w:t>
      </w:r>
      <w:r>
        <w:rPr>
          <w:rFonts w:hint="eastAsia"/>
        </w:rPr>
        <w:t>患者</w:t>
      </w:r>
      <w:r>
        <w:t>配置专属权限，如只能修改当前班次、本人提交的记录。</w:t>
      </w:r>
    </w:p>
    <w:p>
      <w:pPr>
        <w:pStyle w:val="27"/>
        <w:numPr>
          <w:ilvl w:val="0"/>
          <w:numId w:val="32"/>
        </w:numPr>
      </w:pPr>
      <w:r>
        <w:rPr>
          <w:rFonts w:hint="eastAsia"/>
        </w:rPr>
        <w:t>可支持对医院组织架构的维护。</w:t>
      </w:r>
    </w:p>
    <w:p>
      <w:pPr>
        <w:pStyle w:val="3"/>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30、疾病、手术编码</w:t>
      </w:r>
    </w:p>
    <w:p>
      <w:pPr>
        <w:pStyle w:val="27"/>
        <w:numPr>
          <w:ilvl w:val="0"/>
          <w:numId w:val="33"/>
        </w:numPr>
      </w:pPr>
      <w:r>
        <w:rPr>
          <w:rFonts w:hint="eastAsia"/>
        </w:rPr>
        <w:t>系统提供标准的</w:t>
      </w:r>
      <w:r>
        <w:t>手术操作分类编码</w:t>
      </w:r>
      <w:r>
        <w:rPr>
          <w:rFonts w:hint="eastAsia"/>
        </w:rPr>
        <w:t>库及</w:t>
      </w:r>
      <w:r>
        <w:t>疾病分类编码</w:t>
      </w:r>
      <w:r>
        <w:rPr>
          <w:rFonts w:hint="eastAsia"/>
        </w:rPr>
        <w:t>库，诊断规范化操作。</w:t>
      </w:r>
    </w:p>
    <w:p>
      <w:pPr>
        <w:pStyle w:val="27"/>
        <w:numPr>
          <w:ilvl w:val="0"/>
          <w:numId w:val="33"/>
        </w:numPr>
      </w:pPr>
      <w:r>
        <w:rPr>
          <w:rFonts w:hint="eastAsia"/>
        </w:rPr>
        <w:t>系统提供诊断库管理功能，可查询及维护</w:t>
      </w:r>
      <w:r>
        <w:t>手术操作分类编码</w:t>
      </w:r>
      <w:r>
        <w:rPr>
          <w:rFonts w:hint="eastAsia"/>
        </w:rPr>
        <w:t>及</w:t>
      </w:r>
      <w:r>
        <w:t>疾病分类编码</w:t>
      </w:r>
      <w:r>
        <w:rPr>
          <w:rFonts w:hint="eastAsia"/>
        </w:rPr>
        <w:t>，且支持根据医院的编码情况进行扩展。</w:t>
      </w:r>
    </w:p>
    <w:p>
      <w:pPr>
        <w:pStyle w:val="27"/>
        <w:numPr>
          <w:ilvl w:val="0"/>
          <w:numId w:val="33"/>
        </w:numPr>
      </w:pPr>
      <w:r>
        <w:t>系统提供标准手术操作分类编码</w:t>
      </w:r>
      <w:r>
        <w:rPr>
          <w:rFonts w:hint="eastAsia"/>
        </w:rPr>
        <w:t>及</w:t>
      </w:r>
      <w:r>
        <w:t>疾病分类编码，同时提供自定义名称表允许用户根据需要定义和记录诊断名称</w:t>
      </w:r>
      <w:r>
        <w:rPr>
          <w:rFonts w:hint="eastAsia"/>
        </w:rPr>
        <w:t>，自定义名称与标准诊断关联。</w:t>
      </w:r>
    </w:p>
    <w:p>
      <w:pPr>
        <w:pStyle w:val="27"/>
        <w:numPr>
          <w:ilvl w:val="0"/>
          <w:numId w:val="33"/>
        </w:numPr>
      </w:pPr>
      <w:r>
        <w:rPr>
          <w:rFonts w:hint="eastAsia"/>
        </w:rPr>
        <w:t>系统支持编码对照，院内码与互联互通、病历上传编码库对照，实现标准化数据传输。</w:t>
      </w:r>
    </w:p>
    <w:p>
      <w:pPr>
        <w:pStyle w:val="27"/>
        <w:numPr>
          <w:ilvl w:val="0"/>
          <w:numId w:val="33"/>
        </w:numPr>
      </w:pPr>
      <w:r>
        <w:rPr>
          <w:rFonts w:hint="eastAsia"/>
        </w:rPr>
        <w:t>系统可依照</w:t>
      </w:r>
      <w:r>
        <w:t>手术操作分类编码</w:t>
      </w:r>
      <w:r>
        <w:rPr>
          <w:rFonts w:hint="eastAsia"/>
        </w:rPr>
        <w:t>及</w:t>
      </w:r>
      <w:r>
        <w:t>疾病分类编码</w:t>
      </w:r>
      <w:r>
        <w:rPr>
          <w:rFonts w:hint="eastAsia"/>
        </w:rPr>
        <w:t xml:space="preserve">，对手术进行统计分类。 </w:t>
      </w:r>
    </w:p>
    <w:p>
      <w:pPr>
        <w:pStyle w:val="27"/>
        <w:numPr>
          <w:ilvl w:val="0"/>
          <w:numId w:val="33"/>
        </w:numPr>
      </w:pPr>
      <w:r>
        <w:rPr>
          <w:rFonts w:hint="eastAsia"/>
        </w:rPr>
        <w:t>系统支持同步H</w:t>
      </w:r>
      <w:r>
        <w:t>IS</w:t>
      </w:r>
      <w:r>
        <w:rPr>
          <w:rFonts w:hint="eastAsia"/>
        </w:rPr>
        <w:t>诊断字典表功能</w:t>
      </w:r>
    </w:p>
    <w:p>
      <w:pPr>
        <w:pStyle w:val="3"/>
        <w:ind w:firstLine="0"/>
      </w:pPr>
      <w:r>
        <w:rPr>
          <w:rFonts w:hint="eastAsia"/>
        </w:rPr>
        <w:t>31、系统服务监测</w:t>
      </w:r>
    </w:p>
    <w:p>
      <w:pPr>
        <w:pStyle w:val="27"/>
        <w:numPr>
          <w:ilvl w:val="0"/>
          <w:numId w:val="34"/>
        </w:numPr>
      </w:pPr>
      <w:r>
        <w:rPr>
          <w:rFonts w:hint="eastAsia"/>
        </w:rPr>
        <w:t>系统需</w:t>
      </w:r>
      <w:r>
        <w:t>提供网络及服务器连接验证</w:t>
      </w:r>
      <w:r>
        <w:rPr>
          <w:rFonts w:hint="eastAsia"/>
        </w:rPr>
        <w:t>监测功能，并能及时提醒用户网络服务连接异常信息。</w:t>
      </w:r>
    </w:p>
    <w:p>
      <w:pPr>
        <w:pStyle w:val="27"/>
        <w:numPr>
          <w:ilvl w:val="0"/>
          <w:numId w:val="34"/>
        </w:numPr>
      </w:pPr>
      <w:r>
        <w:rPr>
          <w:rFonts w:hint="eastAsia"/>
        </w:rPr>
        <w:t>系统需提供磁盘空间监测功能，并在用户登录时给予明显提示信息。</w:t>
      </w:r>
    </w:p>
    <w:p>
      <w:pPr>
        <w:pStyle w:val="3"/>
        <w:numPr>
          <w:ilvl w:val="0"/>
          <w:numId w:val="35"/>
        </w:numPr>
        <w:ind w:firstLine="0"/>
        <w:rPr>
          <w:rFonts w:hint="eastAsia"/>
          <w:lang w:val="en-US" w:eastAsia="zh-CN"/>
        </w:rPr>
      </w:pPr>
      <w:r>
        <w:rPr>
          <w:rFonts w:hint="eastAsia"/>
          <w:lang w:val="en-US" w:eastAsia="zh-CN"/>
        </w:rPr>
        <w:t>接口</w:t>
      </w:r>
    </w:p>
    <w:p>
      <w:pPr>
        <w:numPr>
          <w:ilvl w:val="0"/>
          <w:numId w:val="0"/>
        </w:numPr>
        <w:ind w:firstLine="480" w:firstLineChars="200"/>
        <w:rPr>
          <w:rFonts w:hint="eastAsia" w:ascii="华文仿宋" w:hAnsi="华文仿宋" w:eastAsia="华文仿宋" w:cs="Times New Roman"/>
          <w:kern w:val="2"/>
          <w:sz w:val="24"/>
          <w:szCs w:val="24"/>
          <w:lang w:val="en-US" w:eastAsia="zh-CN" w:bidi="ar-SA"/>
        </w:rPr>
      </w:pPr>
      <w:r>
        <w:rPr>
          <w:rFonts w:hint="eastAsia" w:ascii="华文仿宋" w:hAnsi="华文仿宋" w:eastAsia="华文仿宋" w:cs="Times New Roman"/>
          <w:kern w:val="2"/>
          <w:sz w:val="24"/>
          <w:szCs w:val="24"/>
          <w:lang w:val="en-US" w:eastAsia="zh-CN" w:bidi="ar-SA"/>
        </w:rPr>
        <w:t>与集成平台、HIS系统、 LIS系统、PACS、手麻系统、院感系统接口对接，根据医院集成平台总线标准开发接口，传输相关数据，达到数据互联互通要求。</w:t>
      </w:r>
    </w:p>
    <w:p>
      <w:pPr>
        <w:spacing w:after="0"/>
        <w:ind w:right="-2" w:firstLine="480" w:firstLineChars="200"/>
        <w:jc w:val="both"/>
        <w:rPr>
          <w:rFonts w:hint="eastAsia" w:ascii="华文仿宋" w:hAnsi="华文仿宋" w:eastAsia="华文仿宋" w:cs="Times New Roman"/>
          <w:kern w:val="2"/>
          <w:sz w:val="24"/>
          <w:szCs w:val="24"/>
          <w:lang w:val="en-US" w:eastAsia="zh-CN" w:bidi="ar-SA"/>
        </w:rPr>
      </w:pPr>
      <w:r>
        <w:rPr>
          <w:rFonts w:hint="eastAsia" w:ascii="华文仿宋" w:hAnsi="华文仿宋" w:eastAsia="华文仿宋" w:cs="Times New Roman"/>
          <w:kern w:val="2"/>
          <w:sz w:val="24"/>
          <w:szCs w:val="24"/>
          <w:lang w:val="en-US" w:eastAsia="zh-CN" w:bidi="ar-SA"/>
        </w:rPr>
        <w:t>与医院电子签名及时间戳系统对接，登录及文书可进行电子签名认证。</w:t>
      </w:r>
    </w:p>
    <w:p>
      <w:pPr>
        <w:spacing w:after="0"/>
        <w:ind w:right="-2" w:firstLine="480" w:firstLineChars="200"/>
        <w:jc w:val="both"/>
        <w:rPr>
          <w:rFonts w:hint="eastAsia" w:ascii="华文仿宋" w:hAnsi="华文仿宋" w:eastAsia="华文仿宋" w:cs="Times New Roman"/>
          <w:kern w:val="2"/>
          <w:sz w:val="24"/>
          <w:szCs w:val="24"/>
          <w:lang w:val="en-US" w:eastAsia="zh-CN" w:bidi="ar-SA"/>
        </w:rPr>
      </w:pPr>
      <w:r>
        <w:rPr>
          <w:rFonts w:hint="eastAsia" w:ascii="华文仿宋" w:hAnsi="华文仿宋" w:eastAsia="华文仿宋" w:cs="Times New Roman"/>
          <w:kern w:val="2"/>
          <w:sz w:val="24"/>
          <w:szCs w:val="24"/>
          <w:lang w:val="en-US" w:eastAsia="zh-CN" w:bidi="ar-SA"/>
        </w:rPr>
        <w:t>与医院病案归档系统对接，统一患者归档数据。患者就诊相关文书可生成pdf，可通过轮询读取excl按患者就诊号批量导出。通过与病案归档系统对接，产生pdf文件提交至归档系统。</w:t>
      </w:r>
    </w:p>
    <w:p>
      <w:pPr>
        <w:spacing w:after="0"/>
        <w:ind w:right="-2" w:firstLine="480" w:firstLineChars="200"/>
        <w:jc w:val="both"/>
        <w:rPr>
          <w:rFonts w:hint="default" w:ascii="华文仿宋" w:hAnsi="华文仿宋" w:eastAsia="华文仿宋" w:cs="Times New Roman"/>
          <w:kern w:val="2"/>
          <w:sz w:val="24"/>
          <w:szCs w:val="24"/>
          <w:lang w:val="en-US" w:eastAsia="zh-CN" w:bidi="ar-SA"/>
        </w:rPr>
      </w:pPr>
      <w:r>
        <w:rPr>
          <w:rFonts w:hint="eastAsia" w:ascii="华文仿宋" w:hAnsi="华文仿宋" w:eastAsia="华文仿宋" w:cs="Times New Roman"/>
          <w:kern w:val="2"/>
          <w:sz w:val="24"/>
          <w:szCs w:val="24"/>
          <w:lang w:val="en-US" w:eastAsia="zh-CN" w:bidi="ar-SA"/>
        </w:rPr>
        <w:t>若产生第三方接口费用，由中标方承担。</w:t>
      </w:r>
    </w:p>
    <w:p>
      <w:pPr>
        <w:pStyle w:val="3"/>
        <w:numPr>
          <w:ilvl w:val="0"/>
          <w:numId w:val="35"/>
        </w:numPr>
        <w:ind w:firstLine="0"/>
        <w:rPr>
          <w:rFonts w:hint="eastAsia"/>
          <w:lang w:val="en-US" w:eastAsia="zh-CN"/>
        </w:rPr>
      </w:pPr>
      <w:r>
        <w:rPr>
          <w:rFonts w:hint="eastAsia"/>
          <w:lang w:val="en-US" w:eastAsia="zh-CN"/>
        </w:rPr>
        <w:t>其他，知识产权</w:t>
      </w:r>
    </w:p>
    <w:p>
      <w:pPr>
        <w:spacing w:after="0"/>
        <w:ind w:right="-2" w:firstLine="480" w:firstLineChars="200"/>
        <w:jc w:val="both"/>
        <w:rPr>
          <w:rFonts w:hint="default" w:ascii="华文仿宋" w:hAnsi="华文仿宋" w:eastAsia="华文仿宋" w:cs="Times New Roman"/>
          <w:kern w:val="2"/>
          <w:sz w:val="24"/>
          <w:szCs w:val="24"/>
          <w:lang w:val="en-US" w:eastAsia="zh-CN" w:bidi="ar-SA"/>
        </w:rPr>
      </w:pPr>
      <w:r>
        <w:rPr>
          <w:rFonts w:hint="default" w:ascii="华文仿宋" w:hAnsi="华文仿宋" w:eastAsia="华文仿宋" w:cs="Times New Roman"/>
          <w:kern w:val="2"/>
          <w:sz w:val="24"/>
          <w:szCs w:val="24"/>
          <w:lang w:val="en-US" w:eastAsia="zh-CN" w:bidi="ar-SA"/>
        </w:rPr>
        <w:t>本项目供应商必须保证提供的产品（软件、服务内容）系自主研发或者依法享有完全的知识产权，</w:t>
      </w:r>
      <w:r>
        <w:rPr>
          <w:rFonts w:hint="eastAsia" w:ascii="华文仿宋" w:hAnsi="华文仿宋" w:eastAsia="华文仿宋" w:cs="Times New Roman"/>
          <w:kern w:val="2"/>
          <w:sz w:val="24"/>
          <w:szCs w:val="24"/>
          <w:lang w:val="en-US" w:eastAsia="zh-CN" w:bidi="ar-SA"/>
        </w:rPr>
        <w:t>负责</w:t>
      </w:r>
      <w:r>
        <w:rPr>
          <w:rFonts w:hint="default" w:ascii="华文仿宋" w:hAnsi="华文仿宋" w:eastAsia="华文仿宋" w:cs="Times New Roman"/>
          <w:kern w:val="2"/>
          <w:sz w:val="24"/>
          <w:szCs w:val="24"/>
          <w:lang w:val="en-US" w:eastAsia="zh-CN" w:bidi="ar-SA"/>
        </w:rPr>
        <w:t>系统运行所需的服务器操作系统、数据库等软件</w:t>
      </w:r>
      <w:r>
        <w:rPr>
          <w:rFonts w:hint="eastAsia" w:ascii="华文仿宋" w:hAnsi="华文仿宋" w:eastAsia="华文仿宋" w:cs="Times New Roman"/>
          <w:kern w:val="2"/>
          <w:sz w:val="24"/>
          <w:szCs w:val="24"/>
          <w:lang w:val="en-US" w:eastAsia="zh-CN" w:bidi="ar-SA"/>
        </w:rPr>
        <w:t>的</w:t>
      </w:r>
      <w:r>
        <w:rPr>
          <w:rFonts w:hint="default" w:ascii="华文仿宋" w:hAnsi="华文仿宋" w:eastAsia="华文仿宋" w:cs="Times New Roman"/>
          <w:kern w:val="2"/>
          <w:sz w:val="24"/>
          <w:szCs w:val="24"/>
          <w:lang w:val="en-US" w:eastAsia="zh-CN" w:bidi="ar-SA"/>
        </w:rPr>
        <w:t>正版授权,采购人在中华人民共和国境内使用供应商提供的产品及服务时免受第三方提出的侵犯其专利权或其它知识产权的起诉。如果第三方提出侵权指控，中标供应商应承担由此而引起的一切法律责任和费用。</w:t>
      </w:r>
      <w:r>
        <w:commentReference w:id="0"/>
      </w:r>
    </w:p>
    <w:p>
      <w:pPr>
        <w:pStyle w:val="2"/>
        <w:rPr>
          <w:rFonts w:hint="default"/>
          <w:lang w:val="en-US" w:eastAsia="zh-CN"/>
        </w:rPr>
      </w:pPr>
    </w:p>
    <w:p>
      <w:pPr>
        <w:pStyle w:val="3"/>
        <w:numPr>
          <w:ilvl w:val="0"/>
          <w:numId w:val="35"/>
        </w:numPr>
        <w:ind w:firstLine="0"/>
        <w:rPr>
          <w:rFonts w:hint="eastAsia"/>
          <w:lang w:val="en-US" w:eastAsia="zh-CN"/>
        </w:rPr>
      </w:pPr>
      <w:r>
        <w:rPr>
          <w:rFonts w:hint="eastAsia"/>
          <w:lang w:val="en-US" w:eastAsia="zh-CN"/>
        </w:rPr>
        <w:t>售后服务要求</w:t>
      </w:r>
    </w:p>
    <w:p>
      <w:pPr>
        <w:pStyle w:val="17"/>
        <w:ind w:left="0" w:leftChars="0" w:firstLine="480" w:firstLineChars="200"/>
        <w:rPr>
          <w:rFonts w:hint="default" w:ascii="华文仿宋" w:hAnsi="华文仿宋" w:eastAsia="华文仿宋" w:cs="Times New Roman"/>
          <w:kern w:val="2"/>
          <w:sz w:val="24"/>
          <w:szCs w:val="24"/>
          <w:lang w:val="en-US" w:eastAsia="zh-CN" w:bidi="ar-SA"/>
        </w:rPr>
      </w:pPr>
      <w:r>
        <w:rPr>
          <w:rFonts w:hint="eastAsia" w:ascii="华文仿宋" w:hAnsi="华文仿宋" w:eastAsia="华文仿宋" w:cs="Times New Roman"/>
          <w:kern w:val="2"/>
          <w:sz w:val="24"/>
          <w:szCs w:val="24"/>
          <w:lang w:val="en-US" w:eastAsia="zh-CN" w:bidi="ar-SA"/>
        </w:rPr>
        <w:t>项目维护期内（含免费维护期及免费维护期后医院方支付维护费期间）提供项目中所有产品的维护服务。软件产品出现因自身质量问题导致的故障时，乙方应在接到甲方通知后1小时内提</w:t>
      </w:r>
      <w:bookmarkStart w:id="2" w:name="_GoBack"/>
      <w:bookmarkEnd w:id="2"/>
      <w:r>
        <w:rPr>
          <w:rFonts w:hint="eastAsia" w:ascii="华文仿宋" w:hAnsi="华文仿宋" w:eastAsia="华文仿宋" w:cs="Times New Roman"/>
          <w:kern w:val="2"/>
          <w:sz w:val="24"/>
          <w:szCs w:val="24"/>
          <w:lang w:val="en-US" w:eastAsia="zh-CN" w:bidi="ar-SA"/>
        </w:rPr>
        <w:t>出解决方案。每年不少与2次系统工程师现场巡检。</w:t>
      </w:r>
    </w:p>
    <w:p>
      <w:pPr>
        <w:spacing w:after="0"/>
        <w:ind w:right="-2" w:firstLine="480" w:firstLineChars="200"/>
        <w:jc w:val="both"/>
        <w:rPr>
          <w:rFonts w:hint="eastAsia" w:ascii="华文仿宋" w:hAnsi="华文仿宋" w:eastAsia="华文仿宋" w:cs="Times New Roman"/>
          <w:kern w:val="2"/>
          <w:sz w:val="24"/>
          <w:szCs w:val="24"/>
          <w:lang w:val="en-US" w:eastAsia="zh-CN" w:bidi="ar-SA"/>
        </w:rPr>
      </w:pPr>
      <w:r>
        <w:rPr>
          <w:rFonts w:hint="eastAsia" w:ascii="华文仿宋" w:hAnsi="华文仿宋" w:eastAsia="华文仿宋" w:cs="Times New Roman"/>
          <w:kern w:val="2"/>
          <w:sz w:val="24"/>
          <w:szCs w:val="24"/>
          <w:lang w:val="en-US" w:eastAsia="zh-CN" w:bidi="ar-SA"/>
        </w:rPr>
        <w:t>项目验合格收起，半年内提供不少于1个工程师现场服务。</w:t>
      </w:r>
    </w:p>
    <w:p>
      <w:pPr>
        <w:spacing w:after="0"/>
        <w:ind w:right="-2" w:firstLine="480" w:firstLineChars="200"/>
        <w:jc w:val="both"/>
        <w:rPr>
          <w:rFonts w:hint="eastAsia" w:ascii="华文仿宋" w:hAnsi="华文仿宋" w:eastAsia="华文仿宋" w:cs="Times New Roman"/>
          <w:kern w:val="2"/>
          <w:sz w:val="24"/>
          <w:szCs w:val="24"/>
          <w:lang w:val="en-US" w:eastAsia="zh-CN" w:bidi="ar-SA"/>
        </w:rPr>
      </w:pPr>
      <w:r>
        <w:rPr>
          <w:rFonts w:hint="eastAsia" w:ascii="华文仿宋" w:hAnsi="华文仿宋" w:eastAsia="华文仿宋" w:cs="Times New Roman"/>
          <w:kern w:val="2"/>
          <w:sz w:val="24"/>
          <w:szCs w:val="24"/>
          <w:lang w:val="en-US" w:eastAsia="zh-CN" w:bidi="ar-SA"/>
        </w:rPr>
        <w:t>医院电子病历、互联互通、三甲医院等级评审等重要评级期间，须提供技术人员现场支持服务。</w:t>
      </w:r>
    </w:p>
    <w:p>
      <w:pPr>
        <w:pStyle w:val="3"/>
        <w:numPr>
          <w:ilvl w:val="0"/>
          <w:numId w:val="35"/>
        </w:numPr>
        <w:ind w:firstLine="0"/>
        <w:rPr>
          <w:rFonts w:hint="eastAsia"/>
          <w:lang w:val="en-US" w:eastAsia="zh-CN"/>
        </w:rPr>
      </w:pPr>
      <w:r>
        <w:rPr>
          <w:rFonts w:hint="eastAsia"/>
          <w:lang w:val="en-US" w:eastAsia="zh-CN"/>
        </w:rPr>
        <w:t>勘查与方案</w:t>
      </w:r>
    </w:p>
    <w:p>
      <w:pPr>
        <w:spacing w:after="0"/>
        <w:ind w:right="-2" w:firstLine="480" w:firstLineChars="200"/>
        <w:jc w:val="both"/>
        <w:rPr>
          <w:rFonts w:hint="eastAsia" w:ascii="华文仿宋" w:hAnsi="华文仿宋" w:eastAsia="华文仿宋" w:cs="Times New Roman"/>
          <w:kern w:val="2"/>
          <w:sz w:val="24"/>
          <w:szCs w:val="24"/>
          <w:lang w:val="en-US" w:eastAsia="zh-CN" w:bidi="ar-SA"/>
        </w:rPr>
      </w:pPr>
      <w:r>
        <w:rPr>
          <w:rFonts w:hint="eastAsia" w:ascii="华文仿宋" w:hAnsi="华文仿宋" w:eastAsia="华文仿宋" w:cs="Times New Roman"/>
          <w:kern w:val="2"/>
          <w:sz w:val="24"/>
          <w:szCs w:val="24"/>
          <w:lang w:val="en-US" w:eastAsia="zh-CN" w:bidi="ar-SA"/>
        </w:rPr>
        <w:t>可对我院重症科实地勘查。</w:t>
      </w:r>
    </w:p>
    <w:p>
      <w:pPr>
        <w:spacing w:after="0"/>
        <w:ind w:right="-2" w:firstLine="480" w:firstLineChars="200"/>
        <w:jc w:val="both"/>
        <w:rPr>
          <w:rFonts w:hint="default" w:ascii="华文仿宋" w:hAnsi="华文仿宋" w:eastAsia="华文仿宋" w:cs="Times New Roman"/>
          <w:kern w:val="2"/>
          <w:sz w:val="24"/>
          <w:szCs w:val="24"/>
          <w:lang w:val="en-US" w:eastAsia="zh-CN" w:bidi="ar-SA"/>
        </w:rPr>
      </w:pPr>
      <w:r>
        <w:rPr>
          <w:rFonts w:hint="eastAsia" w:ascii="华文仿宋" w:hAnsi="华文仿宋" w:eastAsia="华文仿宋" w:cs="Times New Roman"/>
          <w:kern w:val="2"/>
          <w:sz w:val="24"/>
          <w:szCs w:val="24"/>
          <w:lang w:val="en-US" w:eastAsia="zh-CN" w:bidi="ar-SA"/>
        </w:rPr>
        <w:t>投标文件须明确列出本项目可连接并自动采集的设备情况。</w:t>
      </w:r>
    </w:p>
    <w:p>
      <w:pPr>
        <w:pStyle w:val="7"/>
        <w:rPr>
          <w:rFonts w:hint="default"/>
          <w:lang w:val="en-US" w:eastAsia="zh-CN"/>
        </w:rPr>
      </w:pPr>
    </w:p>
    <w:p>
      <w:pPr>
        <w:pStyle w:val="15"/>
        <w:rPr>
          <w:rFonts w:hint="default" w:ascii="微软雅黑" w:hAnsi="微软雅黑" w:eastAsia="微软雅黑"/>
          <w:sz w:val="44"/>
          <w:lang w:val="en-US" w:eastAsia="zh-CN"/>
        </w:rPr>
      </w:pPr>
      <w:r>
        <w:rPr>
          <w:rFonts w:hint="eastAsia" w:ascii="微软雅黑" w:hAnsi="微软雅黑" w:eastAsia="微软雅黑"/>
          <w:sz w:val="44"/>
        </w:rPr>
        <w:t>重症信息系统</w:t>
      </w:r>
      <w:r>
        <w:rPr>
          <w:rFonts w:hint="eastAsia" w:ascii="微软雅黑" w:hAnsi="微软雅黑" w:eastAsia="微软雅黑"/>
          <w:sz w:val="44"/>
          <w:lang w:val="en-US" w:eastAsia="zh-CN"/>
        </w:rPr>
        <w:t>配套硬件</w:t>
      </w:r>
    </w:p>
    <w:tbl>
      <w:tblPr>
        <w:tblStyle w:val="18"/>
        <w:tblW w:w="9854" w:type="dxa"/>
        <w:tblInd w:w="0" w:type="dxa"/>
        <w:tblLayout w:type="fixed"/>
        <w:tblCellMar>
          <w:top w:w="0" w:type="dxa"/>
          <w:left w:w="108" w:type="dxa"/>
          <w:bottom w:w="0" w:type="dxa"/>
          <w:right w:w="108" w:type="dxa"/>
        </w:tblCellMar>
      </w:tblPr>
      <w:tblGrid>
        <w:gridCol w:w="581"/>
        <w:gridCol w:w="903"/>
        <w:gridCol w:w="5812"/>
        <w:gridCol w:w="549"/>
        <w:gridCol w:w="426"/>
        <w:gridCol w:w="1583"/>
      </w:tblGrid>
      <w:tr>
        <w:tblPrEx>
          <w:tblCellMar>
            <w:top w:w="0" w:type="dxa"/>
            <w:left w:w="108" w:type="dxa"/>
            <w:bottom w:w="0" w:type="dxa"/>
            <w:right w:w="108" w:type="dxa"/>
          </w:tblCellMar>
        </w:tblPrEx>
        <w:trPr>
          <w:trHeight w:val="405" w:hRule="atLeast"/>
        </w:trPr>
        <w:tc>
          <w:tcPr>
            <w:tcW w:w="5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2"/>
              </w:rPr>
            </w:pPr>
            <w:r>
              <w:rPr>
                <w:rFonts w:hint="eastAsia" w:ascii="仿宋" w:hAnsi="仿宋" w:eastAsia="仿宋" w:cs="宋体"/>
                <w:b/>
                <w:bCs/>
                <w:kern w:val="0"/>
                <w:sz w:val="22"/>
              </w:rPr>
              <w:t>序号</w:t>
            </w:r>
          </w:p>
        </w:tc>
        <w:tc>
          <w:tcPr>
            <w:tcW w:w="9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类别</w:t>
            </w:r>
          </w:p>
        </w:tc>
        <w:tc>
          <w:tcPr>
            <w:tcW w:w="5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备注</w:t>
            </w:r>
          </w:p>
        </w:tc>
        <w:tc>
          <w:tcPr>
            <w:tcW w:w="5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数量</w:t>
            </w:r>
          </w:p>
        </w:tc>
        <w:tc>
          <w:tcPr>
            <w:tcW w:w="4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单位</w:t>
            </w:r>
          </w:p>
        </w:tc>
        <w:tc>
          <w:tcPr>
            <w:tcW w:w="15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 xml:space="preserve"> 备注</w:t>
            </w:r>
          </w:p>
        </w:tc>
      </w:tr>
      <w:tr>
        <w:tblPrEx>
          <w:tblCellMar>
            <w:top w:w="0" w:type="dxa"/>
            <w:left w:w="108" w:type="dxa"/>
            <w:bottom w:w="0" w:type="dxa"/>
            <w:right w:w="108" w:type="dxa"/>
          </w:tblCellMar>
        </w:tblPrEx>
        <w:trPr>
          <w:trHeight w:val="1140" w:hRule="atLeast"/>
        </w:trPr>
        <w:tc>
          <w:tcPr>
            <w:tcW w:w="5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w:t>
            </w:r>
          </w:p>
        </w:tc>
        <w:tc>
          <w:tcPr>
            <w:tcW w:w="90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仪器接入网关</w:t>
            </w:r>
          </w:p>
        </w:tc>
        <w:tc>
          <w:tcPr>
            <w:tcW w:w="58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≥Intel Core i5-</w:t>
            </w:r>
            <w:r>
              <w:rPr>
                <w:rFonts w:hint="eastAsia" w:ascii="仿宋" w:hAnsi="仿宋" w:eastAsia="仿宋" w:cs="宋体"/>
                <w:color w:val="000000"/>
                <w:kern w:val="0"/>
                <w:sz w:val="22"/>
                <w:lang w:val="en-US" w:eastAsia="zh-CN"/>
              </w:rPr>
              <w:t>10</w:t>
            </w:r>
            <w:r>
              <w:rPr>
                <w:rFonts w:hint="eastAsia" w:ascii="仿宋" w:hAnsi="仿宋" w:eastAsia="仿宋" w:cs="宋体"/>
                <w:color w:val="000000"/>
                <w:kern w:val="0"/>
                <w:sz w:val="22"/>
              </w:rPr>
              <w:t xml:space="preserve">500 </w:t>
            </w:r>
            <w:r>
              <w:rPr>
                <w:rFonts w:hint="eastAsia" w:ascii="仿宋" w:hAnsi="仿宋" w:eastAsia="仿宋" w:cs="宋体"/>
                <w:color w:val="000000"/>
                <w:kern w:val="0"/>
                <w:sz w:val="22"/>
                <w:lang w:val="en-US" w:eastAsia="zh-CN"/>
              </w:rPr>
              <w:t xml:space="preserve"> </w:t>
            </w:r>
            <w:r>
              <w:rPr>
                <w:rFonts w:hint="eastAsia" w:ascii="仿宋" w:hAnsi="仿宋" w:eastAsia="仿宋" w:cs="宋体"/>
                <w:color w:val="000000"/>
                <w:kern w:val="0"/>
                <w:sz w:val="22"/>
              </w:rPr>
              <w:t>8GB DDR4内存/256G SSD硬盘/无光驱/USB键鼠/≥</w:t>
            </w:r>
            <w:r>
              <w:rPr>
                <w:rFonts w:hint="eastAsia" w:ascii="仿宋" w:hAnsi="仿宋" w:eastAsia="仿宋" w:cs="宋体"/>
                <w:color w:val="000000"/>
                <w:kern w:val="0"/>
                <w:sz w:val="22"/>
                <w:lang w:val="en-US" w:eastAsia="zh-CN"/>
              </w:rPr>
              <w:t>于</w:t>
            </w:r>
            <w:r>
              <w:rPr>
                <w:rFonts w:hint="eastAsia" w:ascii="仿宋" w:hAnsi="仿宋" w:eastAsia="仿宋" w:cs="宋体"/>
                <w:color w:val="000000"/>
                <w:kern w:val="0"/>
                <w:sz w:val="22"/>
              </w:rPr>
              <w:t>Win10</w:t>
            </w:r>
            <w:r>
              <w:rPr>
                <w:rFonts w:hint="eastAsia" w:ascii="仿宋" w:hAnsi="仿宋" w:eastAsia="仿宋" w:cs="宋体"/>
                <w:color w:val="000000"/>
                <w:kern w:val="0"/>
                <w:sz w:val="22"/>
                <w:lang w:val="en-US" w:eastAsia="zh-CN"/>
              </w:rPr>
              <w:t xml:space="preserve"> </w:t>
            </w:r>
            <w:r>
              <w:rPr>
                <w:rFonts w:hint="eastAsia" w:ascii="Calibri" w:hAnsi="Calibri" w:eastAsia="仿宋" w:cs="Calibri"/>
                <w:color w:val="000000"/>
                <w:kern w:val="0"/>
                <w:sz w:val="22"/>
                <w:lang w:val="en-US" w:eastAsia="zh-CN"/>
              </w:rPr>
              <w:t xml:space="preserve"> </w:t>
            </w:r>
            <w:r>
              <w:rPr>
                <w:rFonts w:hint="eastAsia" w:ascii="仿宋" w:hAnsi="仿宋" w:eastAsia="仿宋" w:cs="宋体"/>
                <w:color w:val="000000"/>
                <w:kern w:val="0"/>
                <w:sz w:val="22"/>
              </w:rPr>
              <w:t>64bit/21.5寸显示器</w:t>
            </w:r>
          </w:p>
        </w:tc>
        <w:tc>
          <w:tcPr>
            <w:tcW w:w="5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c>
          <w:tcPr>
            <w:tcW w:w="158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lang w:val="en-US" w:eastAsia="zh-CN"/>
              </w:rPr>
              <w:t>等于或优于此配置</w:t>
            </w:r>
          </w:p>
        </w:tc>
      </w:tr>
      <w:tr>
        <w:tblPrEx>
          <w:tblCellMar>
            <w:top w:w="0" w:type="dxa"/>
            <w:left w:w="108" w:type="dxa"/>
            <w:bottom w:w="0" w:type="dxa"/>
            <w:right w:w="108" w:type="dxa"/>
          </w:tblCellMar>
        </w:tblPrEx>
        <w:trPr>
          <w:trHeight w:val="1080" w:hRule="atLeast"/>
        </w:trPr>
        <w:tc>
          <w:tcPr>
            <w:tcW w:w="5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2"/>
                <w:lang w:eastAsia="zh-CN"/>
                <w14:textFill>
                  <w14:solidFill>
                    <w14:schemeClr w14:val="tx1"/>
                  </w14:solidFill>
                </w14:textFill>
              </w:rPr>
            </w:pPr>
            <w:r>
              <w:rPr>
                <w:rFonts w:hint="eastAsia" w:ascii="仿宋" w:hAnsi="仿宋" w:eastAsia="仿宋" w:cs="宋体"/>
                <w:color w:val="000000" w:themeColor="text1"/>
                <w:kern w:val="0"/>
                <w:sz w:val="22"/>
                <w:lang w:val="en-US" w:eastAsia="zh-CN"/>
                <w14:textFill>
                  <w14:solidFill>
                    <w14:schemeClr w14:val="tx1"/>
                  </w14:solidFill>
                </w14:textFill>
              </w:rPr>
              <w:t>4</w:t>
            </w:r>
          </w:p>
        </w:tc>
        <w:tc>
          <w:tcPr>
            <w:tcW w:w="90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床旁一体机</w:t>
            </w:r>
          </w:p>
        </w:tc>
        <w:tc>
          <w:tcPr>
            <w:tcW w:w="58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≥Intel Core i5-</w:t>
            </w:r>
            <w:r>
              <w:rPr>
                <w:rFonts w:hint="eastAsia" w:ascii="仿宋" w:hAnsi="仿宋" w:eastAsia="仿宋" w:cs="宋体"/>
                <w:color w:val="000000" w:themeColor="text1"/>
                <w:kern w:val="0"/>
                <w:sz w:val="22"/>
                <w:lang w:val="en-US" w:eastAsia="zh-CN"/>
                <w14:textFill>
                  <w14:solidFill>
                    <w14:schemeClr w14:val="tx1"/>
                  </w14:solidFill>
                </w14:textFill>
              </w:rPr>
              <w:t>10</w:t>
            </w:r>
            <w:r>
              <w:rPr>
                <w:rFonts w:hint="eastAsia" w:ascii="仿宋" w:hAnsi="仿宋" w:eastAsia="仿宋" w:cs="宋体"/>
                <w:color w:val="000000" w:themeColor="text1"/>
                <w:kern w:val="0"/>
                <w:sz w:val="22"/>
                <w14:textFill>
                  <w14:solidFill>
                    <w14:schemeClr w14:val="tx1"/>
                  </w14:solidFill>
                </w14:textFill>
              </w:rPr>
              <w:t xml:space="preserve">500 </w:t>
            </w:r>
            <w:r>
              <w:rPr>
                <w:rFonts w:hint="eastAsia" w:ascii="仿宋" w:hAnsi="仿宋" w:eastAsia="仿宋" w:cs="宋体"/>
                <w:color w:val="000000" w:themeColor="text1"/>
                <w:kern w:val="0"/>
                <w:sz w:val="22"/>
                <w:lang w:val="en-US" w:eastAsia="zh-CN"/>
                <w14:textFill>
                  <w14:solidFill>
                    <w14:schemeClr w14:val="tx1"/>
                  </w14:solidFill>
                </w14:textFill>
              </w:rPr>
              <w:t xml:space="preserve"> </w:t>
            </w:r>
            <w:r>
              <w:rPr>
                <w:rFonts w:hint="eastAsia" w:ascii="仿宋" w:hAnsi="仿宋" w:eastAsia="仿宋" w:cs="宋体"/>
                <w:color w:val="000000" w:themeColor="text1"/>
                <w:kern w:val="0"/>
                <w:sz w:val="22"/>
                <w14:textFill>
                  <w14:solidFill>
                    <w14:schemeClr w14:val="tx1"/>
                  </w14:solidFill>
                </w14:textFill>
              </w:rPr>
              <w:t>8GB DDR4内存/</w:t>
            </w:r>
            <w:r>
              <w:rPr>
                <w:rFonts w:hint="eastAsia" w:ascii="仿宋" w:hAnsi="仿宋" w:eastAsia="仿宋" w:cs="宋体"/>
                <w:color w:val="000000" w:themeColor="text1"/>
                <w:kern w:val="0"/>
                <w:sz w:val="22"/>
                <w:lang w:val="en-US" w:eastAsia="zh-CN"/>
                <w14:textFill>
                  <w14:solidFill>
                    <w14:schemeClr w14:val="tx1"/>
                  </w14:solidFill>
                </w14:textFill>
              </w:rPr>
              <w:t>512</w:t>
            </w:r>
            <w:r>
              <w:rPr>
                <w:rFonts w:hint="eastAsia" w:ascii="仿宋" w:hAnsi="仿宋" w:eastAsia="仿宋" w:cs="宋体"/>
                <w:color w:val="000000" w:themeColor="text1"/>
                <w:kern w:val="0"/>
                <w:sz w:val="22"/>
                <w14:textFill>
                  <w14:solidFill>
                    <w14:schemeClr w14:val="tx1"/>
                  </w14:solidFill>
                </w14:textFill>
              </w:rPr>
              <w:t>G SSD硬盘/无光驱/USB键鼠/无线网卡/Win10</w:t>
            </w:r>
            <w:r>
              <w:rPr>
                <w:rFonts w:ascii="Calibri" w:hAnsi="Calibri" w:eastAsia="仿宋" w:cs="Calibri"/>
                <w:color w:val="000000" w:themeColor="text1"/>
                <w:kern w:val="0"/>
                <w:sz w:val="22"/>
                <w14:textFill>
                  <w14:solidFill>
                    <w14:schemeClr w14:val="tx1"/>
                  </w14:solidFill>
                </w14:textFill>
              </w:rPr>
              <w:t> </w:t>
            </w:r>
            <w:r>
              <w:rPr>
                <w:rFonts w:hint="eastAsia" w:ascii="Calibri" w:hAnsi="Calibri" w:eastAsia="仿宋" w:cs="Calibri"/>
                <w:color w:val="000000" w:themeColor="text1"/>
                <w:kern w:val="0"/>
                <w:sz w:val="22"/>
                <w:lang w:val="en-US" w:eastAsia="zh-CN"/>
                <w14:textFill>
                  <w14:solidFill>
                    <w14:schemeClr w14:val="tx1"/>
                  </w14:solidFill>
                </w14:textFill>
              </w:rPr>
              <w:t xml:space="preserve"> </w:t>
            </w:r>
            <w:r>
              <w:rPr>
                <w:rFonts w:hint="eastAsia" w:ascii="仿宋" w:hAnsi="仿宋" w:eastAsia="仿宋" w:cs="宋体"/>
                <w:color w:val="000000" w:themeColor="text1"/>
                <w:kern w:val="0"/>
                <w:sz w:val="22"/>
                <w14:textFill>
                  <w14:solidFill>
                    <w14:schemeClr w14:val="tx1"/>
                  </w14:solidFill>
                </w14:textFill>
              </w:rPr>
              <w:t>64bit/21.5寸显示器</w:t>
            </w:r>
          </w:p>
        </w:tc>
        <w:tc>
          <w:tcPr>
            <w:tcW w:w="54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000000" w:themeColor="text1"/>
                <w:kern w:val="0"/>
                <w:sz w:val="22"/>
                <w:lang w:val="en-US" w:eastAsia="zh-CN"/>
                <w14:textFill>
                  <w14:solidFill>
                    <w14:schemeClr w14:val="tx1"/>
                  </w14:solidFill>
                </w14:textFill>
              </w:rPr>
            </w:pPr>
            <w:r>
              <w:rPr>
                <w:rFonts w:hint="eastAsia" w:ascii="仿宋" w:hAnsi="仿宋" w:eastAsia="仿宋" w:cs="宋体"/>
                <w:color w:val="000000" w:themeColor="text1"/>
                <w:kern w:val="0"/>
                <w:sz w:val="22"/>
                <w:lang w:val="en-US" w:eastAsia="zh-CN"/>
                <w14:textFill>
                  <w14:solidFill>
                    <w14:schemeClr w14:val="tx1"/>
                  </w14:solidFill>
                </w14:textFill>
              </w:rPr>
              <w:t>10</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台</w:t>
            </w:r>
          </w:p>
        </w:tc>
        <w:tc>
          <w:tcPr>
            <w:tcW w:w="158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仿宋" w:hAnsi="仿宋" w:eastAsia="仿宋" w:cs="宋体"/>
                <w:color w:val="000000" w:themeColor="text1"/>
                <w:kern w:val="0"/>
                <w:sz w:val="22"/>
                <w:lang w:val="en-US" w:eastAsia="zh-CN"/>
                <w14:textFill>
                  <w14:solidFill>
                    <w14:schemeClr w14:val="tx1"/>
                  </w14:solidFill>
                </w14:textFill>
              </w:rPr>
            </w:pPr>
            <w:r>
              <w:rPr>
                <w:rFonts w:hint="eastAsia" w:ascii="仿宋" w:hAnsi="仿宋" w:eastAsia="仿宋" w:cs="宋体"/>
                <w:color w:val="000000" w:themeColor="text1"/>
                <w:kern w:val="0"/>
                <w:sz w:val="22"/>
                <w:lang w:val="en-US" w:eastAsia="zh-CN"/>
                <w14:textFill>
                  <w14:solidFill>
                    <w14:schemeClr w14:val="tx1"/>
                  </w14:solidFill>
                </w14:textFill>
              </w:rPr>
              <w:t>等于或优于此配置</w:t>
            </w:r>
          </w:p>
        </w:tc>
      </w:tr>
      <w:tr>
        <w:tblPrEx>
          <w:tblCellMar>
            <w:top w:w="0" w:type="dxa"/>
            <w:left w:w="108" w:type="dxa"/>
            <w:bottom w:w="0" w:type="dxa"/>
            <w:right w:w="108" w:type="dxa"/>
          </w:tblCellMar>
        </w:tblPrEx>
        <w:trPr>
          <w:trHeight w:val="1053"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2"/>
                <w:lang w:eastAsia="zh-CN"/>
                <w14:textFill>
                  <w14:solidFill>
                    <w14:schemeClr w14:val="tx1"/>
                  </w14:solidFill>
                </w14:textFill>
              </w:rPr>
            </w:pPr>
            <w:r>
              <w:rPr>
                <w:rFonts w:hint="eastAsia" w:ascii="仿宋" w:hAnsi="仿宋" w:eastAsia="仿宋" w:cs="宋体"/>
                <w:color w:val="000000" w:themeColor="text1"/>
                <w:kern w:val="0"/>
                <w:sz w:val="22"/>
                <w:lang w:val="en-US" w:eastAsia="zh-CN"/>
                <w14:textFill>
                  <w14:solidFill>
                    <w14:schemeClr w14:val="tx1"/>
                  </w14:solidFill>
                </w14:textFill>
              </w:rPr>
              <w:t>5</w:t>
            </w:r>
          </w:p>
        </w:tc>
        <w:tc>
          <w:tcPr>
            <w:tcW w:w="90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移动推车</w:t>
            </w:r>
          </w:p>
        </w:tc>
        <w:tc>
          <w:tcPr>
            <w:tcW w:w="58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外形尺寸：≤长530mm*宽520mm*高1050mm</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工作台面：长480mm*宽460mm</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整机重量：≤35KG（未含计算机）</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台面材质：ABS医用级塑料</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底座材质：一次成型全铸铝</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立柱材质：医用级航空铝合金</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拉手材质：360°环绕一次成型铝合金材质，表面烤漆工艺.</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副台尺寸:长360mm*宽260mm</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键盘位于环绕把手上方，方便使用。</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电脑支架：恒力升降，可根据电脑重量调节大小</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升降方式：脚踏气动升降</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升降尺寸：台面升降行程300mm，显示升降行程150mm</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可选外挂：洗手液框，鼠标挂架，杂物框</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桌面设计：一体无缝，一次成型，具备物体防滑挡条</w:t>
            </w:r>
            <w:r>
              <w:rPr>
                <w:rFonts w:hint="eastAsia" w:ascii="仿宋" w:hAnsi="仿宋" w:eastAsia="仿宋" w:cs="宋体"/>
                <w:color w:val="000000" w:themeColor="text1"/>
                <w:kern w:val="0"/>
                <w:sz w:val="22"/>
                <w14:textFill>
                  <w14:solidFill>
                    <w14:schemeClr w14:val="tx1"/>
                  </w14:solidFill>
                </w14:textFill>
              </w:rPr>
              <w:br w:type="textWrapping"/>
            </w:r>
            <w:r>
              <w:rPr>
                <w:rFonts w:hint="eastAsia" w:ascii="仿宋" w:hAnsi="仿宋" w:eastAsia="仿宋" w:cs="宋体"/>
                <w:color w:val="000000" w:themeColor="text1"/>
                <w:kern w:val="0"/>
                <w:sz w:val="22"/>
                <w14:textFill>
                  <w14:solidFill>
                    <w14:schemeClr w14:val="tx1"/>
                  </w14:solidFill>
                </w14:textFill>
              </w:rPr>
              <w:t>脚轮设计：4寸医疗级静音轮，脚踏刹车</w:t>
            </w:r>
          </w:p>
          <w:p>
            <w:pPr>
              <w:widowControl/>
              <w:jc w:val="left"/>
              <w:rPr>
                <w:rFonts w:hint="eastAsia"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按钮显示面板：电量显示、电源开关</w:t>
            </w:r>
          </w:p>
          <w:p>
            <w:pPr>
              <w:widowControl/>
              <w:jc w:val="left"/>
              <w:rPr>
                <w:rFonts w:hint="default" w:ascii="仿宋" w:hAnsi="仿宋" w:eastAsia="仿宋" w:cs="宋体"/>
                <w:color w:val="000000" w:themeColor="text1"/>
                <w:kern w:val="0"/>
                <w:sz w:val="22"/>
                <w:lang w:val="en-US" w:eastAsia="zh-CN"/>
                <w14:textFill>
                  <w14:solidFill>
                    <w14:schemeClr w14:val="tx1"/>
                  </w14:solidFill>
                </w14:textFill>
              </w:rPr>
            </w:pPr>
            <w:r>
              <w:rPr>
                <w:rFonts w:hint="eastAsia" w:ascii="仿宋" w:hAnsi="仿宋" w:eastAsia="仿宋" w:cs="宋体"/>
                <w:color w:val="000000" w:themeColor="text1"/>
                <w:kern w:val="0"/>
                <w:sz w:val="22"/>
                <w:lang w:val="en-US" w:eastAsia="zh-CN"/>
                <w14:textFill>
                  <w14:solidFill>
                    <w14:schemeClr w14:val="tx1"/>
                  </w14:solidFill>
                </w14:textFill>
              </w:rPr>
              <w:t>提供不少于一年整机质保</w:t>
            </w:r>
          </w:p>
        </w:tc>
        <w:tc>
          <w:tcPr>
            <w:tcW w:w="5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2"/>
                <w:lang w:eastAsia="zh-CN"/>
                <w14:textFill>
                  <w14:solidFill>
                    <w14:schemeClr w14:val="tx1"/>
                  </w14:solidFill>
                </w14:textFill>
              </w:rPr>
            </w:pPr>
            <w:r>
              <w:rPr>
                <w:rFonts w:hint="eastAsia" w:ascii="仿宋" w:hAnsi="仿宋" w:eastAsia="仿宋" w:cs="宋体"/>
                <w:color w:val="000000" w:themeColor="text1"/>
                <w:kern w:val="0"/>
                <w:sz w:val="22"/>
                <w:lang w:val="en-US" w:eastAsia="zh-CN"/>
                <w14:textFill>
                  <w14:solidFill>
                    <w14:schemeClr w14:val="tx1"/>
                  </w14:solidFill>
                </w14:textFill>
              </w:rPr>
              <w:t>8</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台</w:t>
            </w:r>
          </w:p>
        </w:tc>
        <w:tc>
          <w:tcPr>
            <w:tcW w:w="158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lang w:val="en-US" w:eastAsia="zh-CN"/>
                <w14:textFill>
                  <w14:solidFill>
                    <w14:schemeClr w14:val="tx1"/>
                  </w14:solidFill>
                </w14:textFill>
              </w:rPr>
              <w:t>等于或优于此配置</w:t>
            </w:r>
          </w:p>
        </w:tc>
      </w:tr>
      <w:tr>
        <w:tblPrEx>
          <w:tblCellMar>
            <w:top w:w="0" w:type="dxa"/>
            <w:left w:w="108" w:type="dxa"/>
            <w:bottom w:w="0" w:type="dxa"/>
            <w:right w:w="108" w:type="dxa"/>
          </w:tblCellMar>
        </w:tblPrEx>
        <w:trPr>
          <w:trHeight w:val="955"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rPr>
            </w:pPr>
            <w:r>
              <w:rPr>
                <w:rFonts w:hint="eastAsia" w:ascii="仿宋" w:hAnsi="仿宋" w:eastAsia="仿宋" w:cs="宋体"/>
                <w:color w:val="000000"/>
                <w:kern w:val="0"/>
                <w:sz w:val="22"/>
              </w:rPr>
              <w:t>7</w:t>
            </w:r>
          </w:p>
        </w:tc>
        <w:tc>
          <w:tcPr>
            <w:tcW w:w="90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打印机</w:t>
            </w:r>
          </w:p>
        </w:tc>
        <w:tc>
          <w:tcPr>
            <w:tcW w:w="58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lang w:val="en-US" w:eastAsia="zh-CN"/>
              </w:rPr>
              <w:t>激光打印机，支持有线网络打印，双面打印（A4）</w:t>
            </w:r>
          </w:p>
        </w:tc>
        <w:tc>
          <w:tcPr>
            <w:tcW w:w="5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c>
          <w:tcPr>
            <w:tcW w:w="158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color w:val="000000"/>
                <w:kern w:val="0"/>
                <w:sz w:val="22"/>
              </w:rPr>
            </w:pPr>
          </w:p>
        </w:tc>
      </w:tr>
      <w:tr>
        <w:tblPrEx>
          <w:tblCellMar>
            <w:top w:w="0" w:type="dxa"/>
            <w:left w:w="108" w:type="dxa"/>
            <w:bottom w:w="0" w:type="dxa"/>
            <w:right w:w="108" w:type="dxa"/>
          </w:tblCellMar>
        </w:tblPrEx>
        <w:trPr>
          <w:trHeight w:val="1833" w:hRule="atLeast"/>
        </w:trPr>
        <w:tc>
          <w:tcPr>
            <w:tcW w:w="5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lang w:val="en-US" w:eastAsia="zh-CN"/>
              </w:rPr>
            </w:pPr>
            <w:r>
              <w:rPr>
                <w:rFonts w:hint="eastAsia" w:ascii="仿宋" w:hAnsi="仿宋" w:eastAsia="仿宋" w:cs="宋体"/>
                <w:color w:val="000000"/>
                <w:kern w:val="0"/>
                <w:sz w:val="22"/>
                <w:lang w:val="en-US" w:eastAsia="zh-CN"/>
              </w:rPr>
              <w:t>8</w:t>
            </w:r>
          </w:p>
        </w:tc>
        <w:tc>
          <w:tcPr>
            <w:tcW w:w="90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rPr>
            </w:pPr>
            <w:r>
              <w:rPr>
                <w:rFonts w:hint="eastAsia" w:ascii="仿宋" w:hAnsi="仿宋" w:eastAsia="仿宋" w:cs="宋体"/>
                <w:color w:val="000000"/>
                <w:kern w:val="0"/>
                <w:sz w:val="22"/>
              </w:rPr>
              <w:t>交接班大屏</w:t>
            </w:r>
          </w:p>
        </w:tc>
        <w:tc>
          <w:tcPr>
            <w:tcW w:w="581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 xml:space="preserve">液晶屏尺寸 </w:t>
            </w:r>
            <w:r>
              <w:rPr>
                <w:rFonts w:hint="eastAsia" w:ascii="仿宋" w:hAnsi="仿宋" w:eastAsia="仿宋" w:cs="宋体"/>
                <w:color w:val="000000"/>
                <w:kern w:val="0"/>
                <w:sz w:val="22"/>
              </w:rPr>
              <w:t>≥</w:t>
            </w:r>
            <w:r>
              <w:rPr>
                <w:rFonts w:hint="eastAsia" w:ascii="仿宋" w:hAnsi="仿宋" w:eastAsia="仿宋" w:cs="宋体"/>
                <w:kern w:val="0"/>
                <w:sz w:val="22"/>
              </w:rPr>
              <w:t>65英寸/超窄边外观/4K屏/10点红外触摸屏/安卓系统</w:t>
            </w:r>
            <w:r>
              <w:rPr>
                <w:rFonts w:hint="eastAsia" w:ascii="仿宋" w:hAnsi="仿宋" w:eastAsia="仿宋" w:cs="宋体"/>
                <w:kern w:val="0"/>
                <w:sz w:val="22"/>
                <w:lang w:val="en-US" w:eastAsia="zh-CN"/>
              </w:rPr>
              <w:t xml:space="preserve"> </w:t>
            </w:r>
            <w:r>
              <w:rPr>
                <w:rFonts w:hint="eastAsia" w:ascii="仿宋" w:hAnsi="仿宋" w:eastAsia="仿宋" w:cs="宋体"/>
                <w:kern w:val="0"/>
                <w:sz w:val="22"/>
              </w:rPr>
              <w:t>4核</w:t>
            </w:r>
            <w:r>
              <w:rPr>
                <w:rFonts w:hint="eastAsia" w:ascii="仿宋" w:hAnsi="仿宋" w:eastAsia="仿宋" w:cs="宋体"/>
                <w:kern w:val="0"/>
                <w:sz w:val="22"/>
                <w:lang w:val="en-US" w:eastAsia="zh-CN"/>
              </w:rPr>
              <w:t xml:space="preserve"> </w:t>
            </w:r>
            <w:r>
              <w:rPr>
                <w:rFonts w:hint="eastAsia" w:ascii="仿宋" w:hAnsi="仿宋" w:eastAsia="仿宋" w:cs="宋体"/>
                <w:kern w:val="0"/>
                <w:sz w:val="22"/>
              </w:rPr>
              <w:t>CPU、主频</w:t>
            </w:r>
            <w:r>
              <w:rPr>
                <w:rFonts w:hint="eastAsia" w:ascii="仿宋" w:hAnsi="仿宋" w:eastAsia="仿宋" w:cs="宋体"/>
                <w:color w:val="000000"/>
                <w:kern w:val="0"/>
                <w:sz w:val="22"/>
              </w:rPr>
              <w:t>≥</w:t>
            </w:r>
            <w:r>
              <w:rPr>
                <w:rFonts w:hint="eastAsia" w:ascii="仿宋" w:hAnsi="仿宋" w:eastAsia="仿宋" w:cs="宋体"/>
                <w:kern w:val="0"/>
                <w:sz w:val="22"/>
              </w:rPr>
              <w:t>1.5GHz，内存</w:t>
            </w:r>
            <w:r>
              <w:rPr>
                <w:rFonts w:hint="eastAsia" w:ascii="仿宋" w:hAnsi="仿宋" w:eastAsia="仿宋" w:cs="宋体"/>
                <w:color w:val="000000"/>
                <w:kern w:val="0"/>
                <w:sz w:val="22"/>
              </w:rPr>
              <w:t>≥</w:t>
            </w:r>
            <w:r>
              <w:rPr>
                <w:rFonts w:hint="eastAsia" w:ascii="仿宋" w:hAnsi="仿宋" w:eastAsia="仿宋" w:cs="宋体"/>
                <w:kern w:val="0"/>
                <w:sz w:val="22"/>
              </w:rPr>
              <w:t>1G、板载8G存储，采用Android6.0操作系统+Win7系统，酷睿I5/8G/120G SSD/WIFI /内置电源/赠送壁挂</w:t>
            </w:r>
            <w:r>
              <w:rPr>
                <w:rFonts w:hint="eastAsia" w:ascii="仿宋" w:hAnsi="仿宋" w:eastAsia="仿宋" w:cs="宋体"/>
                <w:kern w:val="0"/>
                <w:sz w:val="22"/>
              </w:rPr>
              <w:br w:type="textWrapping"/>
            </w:r>
            <w:r>
              <w:rPr>
                <w:rFonts w:hint="eastAsia" w:ascii="仿宋" w:hAnsi="仿宋" w:eastAsia="仿宋" w:cs="宋体"/>
                <w:kern w:val="0"/>
                <w:sz w:val="22"/>
              </w:rPr>
              <w:t>落地移动支架：支持挂载触控一体机，可移动</w:t>
            </w:r>
          </w:p>
        </w:tc>
        <w:tc>
          <w:tcPr>
            <w:tcW w:w="5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ascii="仿宋" w:hAnsi="仿宋" w:eastAsia="仿宋" w:cs="宋体"/>
                <w:kern w:val="0"/>
                <w:sz w:val="22"/>
              </w:rPr>
              <w:t>1</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台</w:t>
            </w:r>
          </w:p>
        </w:tc>
        <w:tc>
          <w:tcPr>
            <w:tcW w:w="158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p>
        </w:tc>
      </w:tr>
      <w:tr>
        <w:tblPrEx>
          <w:tblCellMar>
            <w:top w:w="0" w:type="dxa"/>
            <w:left w:w="108" w:type="dxa"/>
            <w:bottom w:w="0" w:type="dxa"/>
            <w:right w:w="108" w:type="dxa"/>
          </w:tblCellMar>
        </w:tblPrEx>
        <w:trPr>
          <w:trHeight w:val="1518" w:hRule="atLeast"/>
        </w:trPr>
        <w:tc>
          <w:tcPr>
            <w:tcW w:w="58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2"/>
                <w:highlight w:val="yellow"/>
                <w:lang w:eastAsia="zh-CN"/>
                <w14:textFill>
                  <w14:solidFill>
                    <w14:schemeClr w14:val="tx1"/>
                  </w14:solidFill>
                </w14:textFill>
              </w:rPr>
            </w:pPr>
            <w:r>
              <w:rPr>
                <w:rFonts w:hint="eastAsia" w:ascii="仿宋" w:hAnsi="仿宋" w:eastAsia="仿宋" w:cs="宋体"/>
                <w:color w:val="000000" w:themeColor="text1"/>
                <w:kern w:val="0"/>
                <w:sz w:val="22"/>
                <w:highlight w:val="yellow"/>
                <w:lang w:val="en-US" w:eastAsia="zh-CN"/>
                <w14:textFill>
                  <w14:solidFill>
                    <w14:schemeClr w14:val="tx1"/>
                  </w14:solidFill>
                </w14:textFill>
              </w:rPr>
              <w:t>9</w:t>
            </w:r>
          </w:p>
        </w:tc>
        <w:tc>
          <w:tcPr>
            <w:tcW w:w="903" w:type="dxa"/>
            <w:tcBorders>
              <w:top w:val="nil"/>
              <w:left w:val="nil"/>
              <w:bottom w:val="single" w:color="auto" w:sz="4" w:space="0"/>
              <w:right w:val="single" w:color="auto" w:sz="4" w:space="0"/>
            </w:tcBorders>
            <w:shd w:val="clear" w:color="auto" w:fill="auto"/>
            <w:vAlign w:val="center"/>
          </w:tcPr>
          <w:p>
            <w:pPr>
              <w:widowControl/>
              <w:jc w:val="left"/>
              <w:rPr>
                <w:rFonts w:hint="default" w:ascii="仿宋" w:hAnsi="仿宋" w:eastAsia="仿宋" w:cs="宋体"/>
                <w:color w:val="000000" w:themeColor="text1"/>
                <w:kern w:val="0"/>
                <w:sz w:val="22"/>
                <w:highlight w:val="yellow"/>
                <w:lang w:val="en-US"/>
                <w14:textFill>
                  <w14:solidFill>
                    <w14:schemeClr w14:val="tx1"/>
                  </w14:solidFill>
                </w14:textFill>
              </w:rPr>
            </w:pPr>
            <w:r>
              <w:rPr>
                <w:rFonts w:hint="eastAsia" w:ascii="仿宋" w:hAnsi="仿宋" w:eastAsia="仿宋" w:cs="宋体"/>
                <w:color w:val="000000" w:themeColor="text1"/>
                <w:kern w:val="0"/>
                <w:sz w:val="22"/>
                <w:highlight w:val="yellow"/>
                <w:lang w:val="en-US" w:eastAsia="zh-CN"/>
                <w14:textFill>
                  <w14:solidFill>
                    <w14:schemeClr w14:val="tx1"/>
                  </w14:solidFill>
                </w14:textFill>
              </w:rPr>
              <w:t>床旁数据采集系统</w:t>
            </w:r>
          </w:p>
        </w:tc>
        <w:tc>
          <w:tcPr>
            <w:tcW w:w="5812" w:type="dxa"/>
            <w:tcBorders>
              <w:top w:val="nil"/>
              <w:left w:val="nil"/>
              <w:bottom w:val="single" w:color="auto" w:sz="4" w:space="0"/>
              <w:right w:val="single" w:color="auto" w:sz="4" w:space="0"/>
            </w:tcBorders>
            <w:shd w:val="clear" w:color="auto" w:fill="auto"/>
            <w:vAlign w:val="center"/>
          </w:tcPr>
          <w:p>
            <w:pPr>
              <w:widowControl/>
              <w:jc w:val="left"/>
              <w:rPr>
                <w:rFonts w:hint="default" w:ascii="仿宋" w:hAnsi="仿宋" w:eastAsia="仿宋" w:cs="宋体"/>
                <w:color w:val="000000" w:themeColor="text1"/>
                <w:kern w:val="0"/>
                <w:sz w:val="22"/>
                <w:highlight w:val="yellow"/>
                <w:lang w:val="en-US" w:eastAsia="zh-CN"/>
                <w14:textFill>
                  <w14:solidFill>
                    <w14:schemeClr w14:val="tx1"/>
                  </w14:solidFill>
                </w14:textFill>
              </w:rPr>
            </w:pPr>
            <w:r>
              <w:rPr>
                <w:rFonts w:hint="eastAsia" w:ascii="仿宋" w:hAnsi="仿宋" w:eastAsia="仿宋" w:cs="宋体"/>
                <w:color w:val="000000" w:themeColor="text1"/>
                <w:kern w:val="0"/>
                <w:sz w:val="22"/>
                <w:highlight w:val="yellow"/>
                <w:lang w:val="en-US" w:eastAsia="zh-CN"/>
                <w14:textFill>
                  <w14:solidFill>
                    <w14:schemeClr w14:val="tx1"/>
                  </w14:solidFill>
                </w14:textFill>
              </w:rPr>
              <w:t>床旁数据采集，具备以太网口、串口等各类端口，具备抗干扰能力，满足床旁吸引机，监护仪，气血机等各类仪器采集要求。</w:t>
            </w:r>
          </w:p>
          <w:p>
            <w:pPr>
              <w:widowControl/>
              <w:jc w:val="left"/>
              <w:rPr>
                <w:rFonts w:hint="eastAsia" w:ascii="仿宋" w:hAnsi="仿宋" w:eastAsia="仿宋" w:cs="宋体"/>
                <w:color w:val="000000" w:themeColor="text1"/>
                <w:kern w:val="0"/>
                <w:sz w:val="22"/>
                <w:highlight w:val="yellow"/>
                <w14:textFill>
                  <w14:solidFill>
                    <w14:schemeClr w14:val="tx1"/>
                  </w14:solidFill>
                </w14:textFill>
              </w:rPr>
            </w:pPr>
          </w:p>
        </w:tc>
        <w:tc>
          <w:tcPr>
            <w:tcW w:w="549" w:type="dxa"/>
            <w:tcBorders>
              <w:top w:val="nil"/>
              <w:left w:val="nil"/>
              <w:bottom w:val="single" w:color="auto" w:sz="4" w:space="0"/>
              <w:right w:val="single" w:color="auto" w:sz="4" w:space="0"/>
            </w:tcBorders>
            <w:shd w:val="clear" w:color="000000" w:fill="FFFF00"/>
            <w:noWrap/>
            <w:vAlign w:val="center"/>
          </w:tcPr>
          <w:p>
            <w:pPr>
              <w:widowControl/>
              <w:jc w:val="center"/>
              <w:rPr>
                <w:rFonts w:hint="default" w:ascii="仿宋" w:hAnsi="仿宋" w:eastAsia="仿宋" w:cs="宋体"/>
                <w:color w:val="000000" w:themeColor="text1"/>
                <w:kern w:val="0"/>
                <w:sz w:val="22"/>
                <w:highlight w:val="yellow"/>
                <w:lang w:val="en-US" w:eastAsia="zh-CN"/>
                <w14:textFill>
                  <w14:solidFill>
                    <w14:schemeClr w14:val="tx1"/>
                  </w14:solidFill>
                </w14:textFill>
              </w:rPr>
            </w:pPr>
            <w:r>
              <w:rPr>
                <w:rFonts w:hint="eastAsia" w:ascii="仿宋" w:hAnsi="仿宋" w:eastAsia="仿宋" w:cs="宋体"/>
                <w:color w:val="000000" w:themeColor="text1"/>
                <w:kern w:val="0"/>
                <w:sz w:val="22"/>
                <w:highlight w:val="yellow"/>
                <w:lang w:val="en-US" w:eastAsia="zh-CN"/>
                <w14:textFill>
                  <w14:solidFill>
                    <w14:schemeClr w14:val="tx1"/>
                  </w14:solidFill>
                </w14:textFill>
              </w:rPr>
              <w:t>22</w:t>
            </w:r>
          </w:p>
        </w:tc>
        <w:tc>
          <w:tcPr>
            <w:tcW w:w="4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themeColor="text1"/>
                <w:kern w:val="0"/>
                <w:sz w:val="22"/>
                <w:highlight w:val="yellow"/>
                <w14:textFill>
                  <w14:solidFill>
                    <w14:schemeClr w14:val="tx1"/>
                  </w14:solidFill>
                </w14:textFill>
              </w:rPr>
            </w:pPr>
            <w:r>
              <w:rPr>
                <w:rFonts w:hint="eastAsia" w:ascii="仿宋" w:hAnsi="仿宋" w:eastAsia="仿宋" w:cs="宋体"/>
                <w:color w:val="000000" w:themeColor="text1"/>
                <w:kern w:val="0"/>
                <w:sz w:val="22"/>
                <w:highlight w:val="yellow"/>
                <w14:textFill>
                  <w14:solidFill>
                    <w14:schemeClr w14:val="tx1"/>
                  </w14:solidFill>
                </w14:textFill>
              </w:rPr>
              <w:t>套</w:t>
            </w:r>
          </w:p>
        </w:tc>
        <w:tc>
          <w:tcPr>
            <w:tcW w:w="158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仿宋" w:hAnsi="仿宋" w:eastAsia="仿宋" w:cs="宋体"/>
                <w:color w:val="000000" w:themeColor="text1"/>
                <w:kern w:val="0"/>
                <w:sz w:val="22"/>
                <w:highlight w:val="yellow"/>
                <w:lang w:val="en-US" w:eastAsia="zh-CN"/>
                <w14:textFill>
                  <w14:solidFill>
                    <w14:schemeClr w14:val="tx1"/>
                  </w14:solidFill>
                </w14:textFill>
              </w:rPr>
            </w:pPr>
            <w:r>
              <w:rPr>
                <w:rFonts w:hint="eastAsia" w:ascii="仿宋" w:hAnsi="仿宋" w:eastAsia="仿宋" w:cs="宋体"/>
                <w:color w:val="000000" w:themeColor="text1"/>
                <w:kern w:val="0"/>
                <w:sz w:val="22"/>
                <w:highlight w:val="yellow"/>
                <w:lang w:val="en-US" w:eastAsia="zh-CN"/>
                <w14:textFill>
                  <w14:solidFill>
                    <w14:schemeClr w14:val="tx1"/>
                  </w14:solidFill>
                </w14:textFill>
              </w:rPr>
              <w:t>随床位,不少于22套</w:t>
            </w:r>
          </w:p>
        </w:tc>
      </w:tr>
    </w:tbl>
    <w:p>
      <w:pPr>
        <w:rPr>
          <w:rFonts w:hint="eastAsia"/>
        </w:rPr>
      </w:pPr>
    </w:p>
    <w:p>
      <w:pPr>
        <w:rPr>
          <w:rFonts w:hint="eastAsia"/>
        </w:rPr>
      </w:pPr>
    </w:p>
    <w:sectPr>
      <w:headerReference r:id="rId5" w:type="default"/>
      <w:footerReference r:id="rId6" w:type="default"/>
      <w:pgSz w:w="11906" w:h="16838"/>
      <w:pgMar w:top="1440" w:right="1134" w:bottom="1440"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bc" w:date="2022-06-20T17:13:33Z" w:initials="a">
    <w:p w14:paraId="6A8C5F4B">
      <w:pPr>
        <w:pStyle w:val="6"/>
        <w:rPr>
          <w:rFonts w:hint="eastAsia" w:eastAsiaTheme="minorEastAsia"/>
          <w:lang w:eastAsia="zh-CN"/>
        </w:rPr>
      </w:pPr>
      <w:r>
        <w:rPr>
          <w:rFonts w:hint="eastAsia"/>
          <w:lang w:eastAsia="zh-CN"/>
        </w:rPr>
        <w:t>加不存在纠纷证明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8C5F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000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587010"/>
    </w:sdtPr>
    <w:sdtContent>
      <w:sdt>
        <w:sdtPr>
          <w:id w:val="1728636285"/>
        </w:sdtPr>
        <w:sdtContent>
          <w:p>
            <w:pPr>
              <w:pStyle w:val="12"/>
              <w:ind w:firstLine="72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20</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6540"/>
      </w:tabs>
      <w:ind w:left="7050" w:leftChars="100" w:hanging="6840" w:hangingChars="3800"/>
      <w:jc w:val="both"/>
    </w:pPr>
    <w:r>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44A"/>
    <w:multiLevelType w:val="multilevel"/>
    <w:tmpl w:val="000734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886836"/>
    <w:multiLevelType w:val="multilevel"/>
    <w:tmpl w:val="0C88683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21727B3"/>
    <w:multiLevelType w:val="multilevel"/>
    <w:tmpl w:val="121727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ED3654"/>
    <w:multiLevelType w:val="multilevel"/>
    <w:tmpl w:val="12ED365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4F3477"/>
    <w:multiLevelType w:val="multilevel"/>
    <w:tmpl w:val="154F34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BEAD08"/>
    <w:multiLevelType w:val="singleLevel"/>
    <w:tmpl w:val="1FBEAD08"/>
    <w:lvl w:ilvl="0" w:tentative="0">
      <w:start w:val="32"/>
      <w:numFmt w:val="decimal"/>
      <w:suff w:val="nothing"/>
      <w:lvlText w:val="%1、"/>
      <w:lvlJc w:val="left"/>
    </w:lvl>
  </w:abstractNum>
  <w:abstractNum w:abstractNumId="6">
    <w:nsid w:val="1FD60716"/>
    <w:multiLevelType w:val="multilevel"/>
    <w:tmpl w:val="1FD607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3E43FA"/>
    <w:multiLevelType w:val="multilevel"/>
    <w:tmpl w:val="233E43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4F217EB"/>
    <w:multiLevelType w:val="multilevel"/>
    <w:tmpl w:val="24F217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F60FD0"/>
    <w:multiLevelType w:val="multilevel"/>
    <w:tmpl w:val="25F60F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56347A"/>
    <w:multiLevelType w:val="multilevel"/>
    <w:tmpl w:val="2B5634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0847A11"/>
    <w:multiLevelType w:val="multilevel"/>
    <w:tmpl w:val="30847A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3EF134D"/>
    <w:multiLevelType w:val="multilevel"/>
    <w:tmpl w:val="33EF13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46E2500"/>
    <w:multiLevelType w:val="multilevel"/>
    <w:tmpl w:val="346E25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6907F1F"/>
    <w:multiLevelType w:val="multilevel"/>
    <w:tmpl w:val="36907F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7DD52AA"/>
    <w:multiLevelType w:val="multilevel"/>
    <w:tmpl w:val="37DD52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8CF2F48"/>
    <w:multiLevelType w:val="multilevel"/>
    <w:tmpl w:val="38CF2F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A7E342D"/>
    <w:multiLevelType w:val="multilevel"/>
    <w:tmpl w:val="3A7E34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F3A5839"/>
    <w:multiLevelType w:val="multilevel"/>
    <w:tmpl w:val="3F3A5839"/>
    <w:lvl w:ilvl="0" w:tentative="0">
      <w:start w:val="1"/>
      <w:numFmt w:val="bullet"/>
      <w:pStyle w:val="27"/>
      <w:lvlText w:val=""/>
      <w:lvlJc w:val="left"/>
      <w:pPr>
        <w:ind w:left="420" w:hanging="420"/>
      </w:pPr>
      <w:rPr>
        <w:rFonts w:hint="default" w:ascii="Wingdings" w:hAnsi="Wingdings"/>
      </w:rPr>
    </w:lvl>
    <w:lvl w:ilvl="1" w:tentative="0">
      <w:start w:val="4"/>
      <w:numFmt w:val="bullet"/>
      <w:lvlText w:val="★"/>
      <w:lvlJc w:val="left"/>
      <w:pPr>
        <w:ind w:left="780" w:hanging="360"/>
      </w:pPr>
      <w:rPr>
        <w:rFonts w:hint="eastAsia" w:ascii="等线" w:hAnsi="等线" w:eastAsia="等线" w:cstheme="minorBid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0704E08"/>
    <w:multiLevelType w:val="multilevel"/>
    <w:tmpl w:val="40704E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1E35BE8"/>
    <w:multiLevelType w:val="multilevel"/>
    <w:tmpl w:val="41E35B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A957778"/>
    <w:multiLevelType w:val="multilevel"/>
    <w:tmpl w:val="4A9577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C841617"/>
    <w:multiLevelType w:val="multilevel"/>
    <w:tmpl w:val="4C8416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D33577E"/>
    <w:multiLevelType w:val="multilevel"/>
    <w:tmpl w:val="4D3357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5DA4E5F"/>
    <w:multiLevelType w:val="multilevel"/>
    <w:tmpl w:val="55DA4E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A983F21"/>
    <w:multiLevelType w:val="multilevel"/>
    <w:tmpl w:val="5A983F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D804686"/>
    <w:multiLevelType w:val="multilevel"/>
    <w:tmpl w:val="5D8046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3B379EB"/>
    <w:multiLevelType w:val="multilevel"/>
    <w:tmpl w:val="73B379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4232F4A"/>
    <w:multiLevelType w:val="multilevel"/>
    <w:tmpl w:val="74232F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58C4AC9"/>
    <w:multiLevelType w:val="multilevel"/>
    <w:tmpl w:val="758C4A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A2C4E52"/>
    <w:multiLevelType w:val="multilevel"/>
    <w:tmpl w:val="7A2C4E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A3C1004"/>
    <w:multiLevelType w:val="multilevel"/>
    <w:tmpl w:val="7A3C1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B0E1987"/>
    <w:multiLevelType w:val="multilevel"/>
    <w:tmpl w:val="7B0E1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B9E3C46"/>
    <w:multiLevelType w:val="multilevel"/>
    <w:tmpl w:val="7B9E3C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D307F7C"/>
    <w:multiLevelType w:val="multilevel"/>
    <w:tmpl w:val="7D307F7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8"/>
  </w:num>
  <w:num w:numId="2">
    <w:abstractNumId w:val="31"/>
  </w:num>
  <w:num w:numId="3">
    <w:abstractNumId w:val="22"/>
  </w:num>
  <w:num w:numId="4">
    <w:abstractNumId w:val="9"/>
  </w:num>
  <w:num w:numId="5">
    <w:abstractNumId w:val="10"/>
  </w:num>
  <w:num w:numId="6">
    <w:abstractNumId w:val="3"/>
  </w:num>
  <w:num w:numId="7">
    <w:abstractNumId w:val="27"/>
  </w:num>
  <w:num w:numId="8">
    <w:abstractNumId w:val="6"/>
  </w:num>
  <w:num w:numId="9">
    <w:abstractNumId w:val="8"/>
  </w:num>
  <w:num w:numId="10">
    <w:abstractNumId w:val="33"/>
  </w:num>
  <w:num w:numId="11">
    <w:abstractNumId w:val="0"/>
  </w:num>
  <w:num w:numId="12">
    <w:abstractNumId w:val="17"/>
  </w:num>
  <w:num w:numId="13">
    <w:abstractNumId w:val="29"/>
  </w:num>
  <w:num w:numId="14">
    <w:abstractNumId w:val="21"/>
  </w:num>
  <w:num w:numId="15">
    <w:abstractNumId w:val="20"/>
  </w:num>
  <w:num w:numId="16">
    <w:abstractNumId w:val="2"/>
  </w:num>
  <w:num w:numId="17">
    <w:abstractNumId w:val="12"/>
  </w:num>
  <w:num w:numId="18">
    <w:abstractNumId w:val="7"/>
  </w:num>
  <w:num w:numId="19">
    <w:abstractNumId w:val="30"/>
  </w:num>
  <w:num w:numId="20">
    <w:abstractNumId w:val="16"/>
  </w:num>
  <w:num w:numId="21">
    <w:abstractNumId w:val="25"/>
  </w:num>
  <w:num w:numId="22">
    <w:abstractNumId w:val="13"/>
  </w:num>
  <w:num w:numId="23">
    <w:abstractNumId w:val="19"/>
  </w:num>
  <w:num w:numId="24">
    <w:abstractNumId w:val="15"/>
  </w:num>
  <w:num w:numId="25">
    <w:abstractNumId w:val="1"/>
  </w:num>
  <w:num w:numId="26">
    <w:abstractNumId w:val="23"/>
  </w:num>
  <w:num w:numId="27">
    <w:abstractNumId w:val="4"/>
  </w:num>
  <w:num w:numId="28">
    <w:abstractNumId w:val="34"/>
  </w:num>
  <w:num w:numId="29">
    <w:abstractNumId w:val="28"/>
  </w:num>
  <w:num w:numId="30">
    <w:abstractNumId w:val="26"/>
  </w:num>
  <w:num w:numId="31">
    <w:abstractNumId w:val="32"/>
  </w:num>
  <w:num w:numId="32">
    <w:abstractNumId w:val="11"/>
  </w:num>
  <w:num w:numId="33">
    <w:abstractNumId w:val="24"/>
  </w:num>
  <w:num w:numId="34">
    <w:abstractNumId w:val="14"/>
  </w:num>
  <w:num w:numId="3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3ZjY2Nzc5ODMzNTRhZjU2ZWUzZjM1N2RlM2VmNDAifQ=="/>
  </w:docVars>
  <w:rsids>
    <w:rsidRoot w:val="0057472F"/>
    <w:rsid w:val="00013D82"/>
    <w:rsid w:val="000205F2"/>
    <w:rsid w:val="00023EE5"/>
    <w:rsid w:val="000258FA"/>
    <w:rsid w:val="000343C3"/>
    <w:rsid w:val="00036F0E"/>
    <w:rsid w:val="0004307F"/>
    <w:rsid w:val="000464BA"/>
    <w:rsid w:val="0005368B"/>
    <w:rsid w:val="00056BAC"/>
    <w:rsid w:val="00073105"/>
    <w:rsid w:val="00083E95"/>
    <w:rsid w:val="000A43CA"/>
    <w:rsid w:val="000A479E"/>
    <w:rsid w:val="000B0A1C"/>
    <w:rsid w:val="000C062C"/>
    <w:rsid w:val="000C6501"/>
    <w:rsid w:val="000D2292"/>
    <w:rsid w:val="000E2BA3"/>
    <w:rsid w:val="000F37DA"/>
    <w:rsid w:val="00100263"/>
    <w:rsid w:val="001055D9"/>
    <w:rsid w:val="00110EDA"/>
    <w:rsid w:val="0012513D"/>
    <w:rsid w:val="00136985"/>
    <w:rsid w:val="001400FB"/>
    <w:rsid w:val="001552EB"/>
    <w:rsid w:val="00160A99"/>
    <w:rsid w:val="001638CB"/>
    <w:rsid w:val="0016649A"/>
    <w:rsid w:val="001670C0"/>
    <w:rsid w:val="0017009E"/>
    <w:rsid w:val="0017556C"/>
    <w:rsid w:val="001838C7"/>
    <w:rsid w:val="00197FCD"/>
    <w:rsid w:val="001A1585"/>
    <w:rsid w:val="001A44C4"/>
    <w:rsid w:val="001B04C0"/>
    <w:rsid w:val="001C0E05"/>
    <w:rsid w:val="001D0094"/>
    <w:rsid w:val="001D3339"/>
    <w:rsid w:val="001D6B4C"/>
    <w:rsid w:val="001E119A"/>
    <w:rsid w:val="001E1EA1"/>
    <w:rsid w:val="001E72EB"/>
    <w:rsid w:val="001E7B81"/>
    <w:rsid w:val="001F1998"/>
    <w:rsid w:val="001F270A"/>
    <w:rsid w:val="001F37B5"/>
    <w:rsid w:val="001F3B46"/>
    <w:rsid w:val="0020063D"/>
    <w:rsid w:val="00205903"/>
    <w:rsid w:val="00205CA5"/>
    <w:rsid w:val="002172FE"/>
    <w:rsid w:val="00217A38"/>
    <w:rsid w:val="00225CE1"/>
    <w:rsid w:val="002321C8"/>
    <w:rsid w:val="00233D70"/>
    <w:rsid w:val="00235706"/>
    <w:rsid w:val="00241A71"/>
    <w:rsid w:val="002444ED"/>
    <w:rsid w:val="002507F5"/>
    <w:rsid w:val="002544CB"/>
    <w:rsid w:val="002615A1"/>
    <w:rsid w:val="00264BA5"/>
    <w:rsid w:val="00264C29"/>
    <w:rsid w:val="00271284"/>
    <w:rsid w:val="00271A6A"/>
    <w:rsid w:val="002724E3"/>
    <w:rsid w:val="00272823"/>
    <w:rsid w:val="00276D76"/>
    <w:rsid w:val="0028362D"/>
    <w:rsid w:val="00284376"/>
    <w:rsid w:val="002870B6"/>
    <w:rsid w:val="00287663"/>
    <w:rsid w:val="0028794C"/>
    <w:rsid w:val="002A3366"/>
    <w:rsid w:val="002B46B3"/>
    <w:rsid w:val="002C6305"/>
    <w:rsid w:val="002E0314"/>
    <w:rsid w:val="002E2630"/>
    <w:rsid w:val="002E65E0"/>
    <w:rsid w:val="002E7EEA"/>
    <w:rsid w:val="002F098C"/>
    <w:rsid w:val="002F163A"/>
    <w:rsid w:val="002F52A0"/>
    <w:rsid w:val="00317D41"/>
    <w:rsid w:val="00317E93"/>
    <w:rsid w:val="0032218F"/>
    <w:rsid w:val="00325DFE"/>
    <w:rsid w:val="00341C09"/>
    <w:rsid w:val="0034275A"/>
    <w:rsid w:val="00355204"/>
    <w:rsid w:val="003600D1"/>
    <w:rsid w:val="0036365C"/>
    <w:rsid w:val="00363D6F"/>
    <w:rsid w:val="00391AAC"/>
    <w:rsid w:val="00396C4D"/>
    <w:rsid w:val="00397130"/>
    <w:rsid w:val="003A7D35"/>
    <w:rsid w:val="003B6DB9"/>
    <w:rsid w:val="003B76F5"/>
    <w:rsid w:val="003C1242"/>
    <w:rsid w:val="003C3174"/>
    <w:rsid w:val="003D4343"/>
    <w:rsid w:val="003D5850"/>
    <w:rsid w:val="003D630F"/>
    <w:rsid w:val="003E0279"/>
    <w:rsid w:val="003E0CFA"/>
    <w:rsid w:val="003E6443"/>
    <w:rsid w:val="003E6CD9"/>
    <w:rsid w:val="003E788F"/>
    <w:rsid w:val="003F3EE1"/>
    <w:rsid w:val="0040188B"/>
    <w:rsid w:val="00404AAE"/>
    <w:rsid w:val="004062A8"/>
    <w:rsid w:val="00411122"/>
    <w:rsid w:val="00411F6C"/>
    <w:rsid w:val="00413B0D"/>
    <w:rsid w:val="00414D32"/>
    <w:rsid w:val="00416C39"/>
    <w:rsid w:val="00424DB1"/>
    <w:rsid w:val="004326E5"/>
    <w:rsid w:val="00436B71"/>
    <w:rsid w:val="004378F5"/>
    <w:rsid w:val="00441095"/>
    <w:rsid w:val="0044286D"/>
    <w:rsid w:val="00442BA4"/>
    <w:rsid w:val="00444154"/>
    <w:rsid w:val="00452C08"/>
    <w:rsid w:val="00452FA7"/>
    <w:rsid w:val="004635B9"/>
    <w:rsid w:val="00467B68"/>
    <w:rsid w:val="004729D6"/>
    <w:rsid w:val="00472CD1"/>
    <w:rsid w:val="00484CA5"/>
    <w:rsid w:val="00490B66"/>
    <w:rsid w:val="004924D5"/>
    <w:rsid w:val="00493255"/>
    <w:rsid w:val="004A0692"/>
    <w:rsid w:val="004A2B6F"/>
    <w:rsid w:val="004A329B"/>
    <w:rsid w:val="004A3B41"/>
    <w:rsid w:val="004B34A9"/>
    <w:rsid w:val="004C26AE"/>
    <w:rsid w:val="004C3348"/>
    <w:rsid w:val="004C40BA"/>
    <w:rsid w:val="004C4871"/>
    <w:rsid w:val="004E2A01"/>
    <w:rsid w:val="004E36C2"/>
    <w:rsid w:val="004E6993"/>
    <w:rsid w:val="004F3ECD"/>
    <w:rsid w:val="004F46E5"/>
    <w:rsid w:val="004F760E"/>
    <w:rsid w:val="00520491"/>
    <w:rsid w:val="00520E0E"/>
    <w:rsid w:val="00521E6F"/>
    <w:rsid w:val="005362C3"/>
    <w:rsid w:val="00541C4A"/>
    <w:rsid w:val="00550019"/>
    <w:rsid w:val="00560444"/>
    <w:rsid w:val="00561F51"/>
    <w:rsid w:val="00562B69"/>
    <w:rsid w:val="005658C9"/>
    <w:rsid w:val="0057472F"/>
    <w:rsid w:val="00582D45"/>
    <w:rsid w:val="00583CB8"/>
    <w:rsid w:val="005874A8"/>
    <w:rsid w:val="005A0A3F"/>
    <w:rsid w:val="005A4ADA"/>
    <w:rsid w:val="005A683D"/>
    <w:rsid w:val="005B5B47"/>
    <w:rsid w:val="005B669C"/>
    <w:rsid w:val="005C0C7D"/>
    <w:rsid w:val="005C2D14"/>
    <w:rsid w:val="005D197F"/>
    <w:rsid w:val="005E1E27"/>
    <w:rsid w:val="005E271F"/>
    <w:rsid w:val="005F37F9"/>
    <w:rsid w:val="005F60AD"/>
    <w:rsid w:val="005F662B"/>
    <w:rsid w:val="006067C1"/>
    <w:rsid w:val="006134AE"/>
    <w:rsid w:val="00615A22"/>
    <w:rsid w:val="00616085"/>
    <w:rsid w:val="0064303F"/>
    <w:rsid w:val="00646FFF"/>
    <w:rsid w:val="0065702C"/>
    <w:rsid w:val="00661D06"/>
    <w:rsid w:val="00661E97"/>
    <w:rsid w:val="00666FC6"/>
    <w:rsid w:val="00673A12"/>
    <w:rsid w:val="0067518E"/>
    <w:rsid w:val="00685C71"/>
    <w:rsid w:val="006A2EB6"/>
    <w:rsid w:val="006A41F8"/>
    <w:rsid w:val="006B3084"/>
    <w:rsid w:val="006B5153"/>
    <w:rsid w:val="006D0DE8"/>
    <w:rsid w:val="006E3324"/>
    <w:rsid w:val="006E6209"/>
    <w:rsid w:val="006F4CB4"/>
    <w:rsid w:val="007048C4"/>
    <w:rsid w:val="0070535D"/>
    <w:rsid w:val="0070661C"/>
    <w:rsid w:val="00711ABD"/>
    <w:rsid w:val="007144A7"/>
    <w:rsid w:val="007214E1"/>
    <w:rsid w:val="0072379F"/>
    <w:rsid w:val="00736290"/>
    <w:rsid w:val="00744CCA"/>
    <w:rsid w:val="00745408"/>
    <w:rsid w:val="007456B2"/>
    <w:rsid w:val="00745A8C"/>
    <w:rsid w:val="0075738C"/>
    <w:rsid w:val="0076462F"/>
    <w:rsid w:val="00775DB7"/>
    <w:rsid w:val="0077707C"/>
    <w:rsid w:val="007868D0"/>
    <w:rsid w:val="00786D32"/>
    <w:rsid w:val="0078724B"/>
    <w:rsid w:val="007907FE"/>
    <w:rsid w:val="00790E34"/>
    <w:rsid w:val="007A265C"/>
    <w:rsid w:val="007A32E9"/>
    <w:rsid w:val="007B4B8D"/>
    <w:rsid w:val="007B5CFA"/>
    <w:rsid w:val="007C4826"/>
    <w:rsid w:val="007C63DD"/>
    <w:rsid w:val="007E0335"/>
    <w:rsid w:val="007E3A7C"/>
    <w:rsid w:val="007E4601"/>
    <w:rsid w:val="007E5847"/>
    <w:rsid w:val="007F1B7A"/>
    <w:rsid w:val="007F44FC"/>
    <w:rsid w:val="007F562A"/>
    <w:rsid w:val="008015D4"/>
    <w:rsid w:val="00801A64"/>
    <w:rsid w:val="00802DFA"/>
    <w:rsid w:val="00805FBB"/>
    <w:rsid w:val="00813357"/>
    <w:rsid w:val="008133FD"/>
    <w:rsid w:val="00816004"/>
    <w:rsid w:val="00821A6F"/>
    <w:rsid w:val="00833C7F"/>
    <w:rsid w:val="00845035"/>
    <w:rsid w:val="008757A6"/>
    <w:rsid w:val="0087650D"/>
    <w:rsid w:val="008878BE"/>
    <w:rsid w:val="008A4049"/>
    <w:rsid w:val="008A63F8"/>
    <w:rsid w:val="008B62C2"/>
    <w:rsid w:val="008C0C78"/>
    <w:rsid w:val="008C2154"/>
    <w:rsid w:val="008C3065"/>
    <w:rsid w:val="008D14AD"/>
    <w:rsid w:val="008E0D97"/>
    <w:rsid w:val="008E5B2F"/>
    <w:rsid w:val="008E66D4"/>
    <w:rsid w:val="00900230"/>
    <w:rsid w:val="009033D5"/>
    <w:rsid w:val="00903767"/>
    <w:rsid w:val="00924C99"/>
    <w:rsid w:val="009268E6"/>
    <w:rsid w:val="00926FFA"/>
    <w:rsid w:val="00940732"/>
    <w:rsid w:val="0094112F"/>
    <w:rsid w:val="00954D69"/>
    <w:rsid w:val="00955CCD"/>
    <w:rsid w:val="009633E2"/>
    <w:rsid w:val="00966A59"/>
    <w:rsid w:val="009715EC"/>
    <w:rsid w:val="00974368"/>
    <w:rsid w:val="00975ABE"/>
    <w:rsid w:val="00987ED4"/>
    <w:rsid w:val="009A5F30"/>
    <w:rsid w:val="009B41F9"/>
    <w:rsid w:val="009B4FDB"/>
    <w:rsid w:val="009C25C0"/>
    <w:rsid w:val="009C37BA"/>
    <w:rsid w:val="009C4DA8"/>
    <w:rsid w:val="009C56B8"/>
    <w:rsid w:val="009C63D4"/>
    <w:rsid w:val="009D12F9"/>
    <w:rsid w:val="009D66B9"/>
    <w:rsid w:val="009D7414"/>
    <w:rsid w:val="009E24E0"/>
    <w:rsid w:val="009E3648"/>
    <w:rsid w:val="009F04E6"/>
    <w:rsid w:val="00A01651"/>
    <w:rsid w:val="00A01F41"/>
    <w:rsid w:val="00A073EB"/>
    <w:rsid w:val="00A13044"/>
    <w:rsid w:val="00A23C3B"/>
    <w:rsid w:val="00A31CDB"/>
    <w:rsid w:val="00A43E68"/>
    <w:rsid w:val="00A45B59"/>
    <w:rsid w:val="00A55C4E"/>
    <w:rsid w:val="00A60336"/>
    <w:rsid w:val="00A60B46"/>
    <w:rsid w:val="00A61F8A"/>
    <w:rsid w:val="00A71243"/>
    <w:rsid w:val="00A73F82"/>
    <w:rsid w:val="00A761E7"/>
    <w:rsid w:val="00A77DF3"/>
    <w:rsid w:val="00A872CD"/>
    <w:rsid w:val="00A93B24"/>
    <w:rsid w:val="00A953D0"/>
    <w:rsid w:val="00AA3F79"/>
    <w:rsid w:val="00AB3BD7"/>
    <w:rsid w:val="00AC1818"/>
    <w:rsid w:val="00AD3673"/>
    <w:rsid w:val="00AD52BA"/>
    <w:rsid w:val="00AE3E11"/>
    <w:rsid w:val="00AE3EAE"/>
    <w:rsid w:val="00AF28B4"/>
    <w:rsid w:val="00B1241F"/>
    <w:rsid w:val="00B14072"/>
    <w:rsid w:val="00B25CF1"/>
    <w:rsid w:val="00B2712C"/>
    <w:rsid w:val="00B35557"/>
    <w:rsid w:val="00B36A5A"/>
    <w:rsid w:val="00B36B80"/>
    <w:rsid w:val="00B40A65"/>
    <w:rsid w:val="00B455A4"/>
    <w:rsid w:val="00B45E17"/>
    <w:rsid w:val="00B5002B"/>
    <w:rsid w:val="00B57423"/>
    <w:rsid w:val="00B57B18"/>
    <w:rsid w:val="00B71833"/>
    <w:rsid w:val="00B77D44"/>
    <w:rsid w:val="00B82DE8"/>
    <w:rsid w:val="00B94E88"/>
    <w:rsid w:val="00BA21AE"/>
    <w:rsid w:val="00BA287A"/>
    <w:rsid w:val="00BB0A11"/>
    <w:rsid w:val="00BB352D"/>
    <w:rsid w:val="00BB4E22"/>
    <w:rsid w:val="00BC1328"/>
    <w:rsid w:val="00BD323A"/>
    <w:rsid w:val="00BE4479"/>
    <w:rsid w:val="00BE56BA"/>
    <w:rsid w:val="00BE5F0F"/>
    <w:rsid w:val="00BF0D2A"/>
    <w:rsid w:val="00C118B2"/>
    <w:rsid w:val="00C1406C"/>
    <w:rsid w:val="00C21CAC"/>
    <w:rsid w:val="00C22998"/>
    <w:rsid w:val="00C24578"/>
    <w:rsid w:val="00C331B2"/>
    <w:rsid w:val="00C336C0"/>
    <w:rsid w:val="00C71927"/>
    <w:rsid w:val="00C77119"/>
    <w:rsid w:val="00C8225D"/>
    <w:rsid w:val="00CA08C9"/>
    <w:rsid w:val="00CA5DDD"/>
    <w:rsid w:val="00CB0C9E"/>
    <w:rsid w:val="00CB26B5"/>
    <w:rsid w:val="00CB6942"/>
    <w:rsid w:val="00CB7D04"/>
    <w:rsid w:val="00CC5675"/>
    <w:rsid w:val="00CD1737"/>
    <w:rsid w:val="00CD5A75"/>
    <w:rsid w:val="00CF0708"/>
    <w:rsid w:val="00CF1ED4"/>
    <w:rsid w:val="00CF4FB0"/>
    <w:rsid w:val="00CF5EA1"/>
    <w:rsid w:val="00D2215B"/>
    <w:rsid w:val="00D22F14"/>
    <w:rsid w:val="00D23CC1"/>
    <w:rsid w:val="00D23E47"/>
    <w:rsid w:val="00D43DA0"/>
    <w:rsid w:val="00D46523"/>
    <w:rsid w:val="00D478E4"/>
    <w:rsid w:val="00D47E40"/>
    <w:rsid w:val="00D554F1"/>
    <w:rsid w:val="00D6303A"/>
    <w:rsid w:val="00D66EF5"/>
    <w:rsid w:val="00D70C62"/>
    <w:rsid w:val="00D71737"/>
    <w:rsid w:val="00D761E3"/>
    <w:rsid w:val="00D77528"/>
    <w:rsid w:val="00D82552"/>
    <w:rsid w:val="00D825C1"/>
    <w:rsid w:val="00D8626A"/>
    <w:rsid w:val="00D86424"/>
    <w:rsid w:val="00D96556"/>
    <w:rsid w:val="00DA0BDD"/>
    <w:rsid w:val="00DA34B3"/>
    <w:rsid w:val="00DA4079"/>
    <w:rsid w:val="00DA6DC4"/>
    <w:rsid w:val="00DB3683"/>
    <w:rsid w:val="00DC285E"/>
    <w:rsid w:val="00DC3663"/>
    <w:rsid w:val="00DC3B19"/>
    <w:rsid w:val="00DD2C96"/>
    <w:rsid w:val="00DD3BE4"/>
    <w:rsid w:val="00DD7E9B"/>
    <w:rsid w:val="00DE433E"/>
    <w:rsid w:val="00DF1822"/>
    <w:rsid w:val="00E01CA8"/>
    <w:rsid w:val="00E06EB8"/>
    <w:rsid w:val="00E1692E"/>
    <w:rsid w:val="00E218E2"/>
    <w:rsid w:val="00E5080A"/>
    <w:rsid w:val="00E751A3"/>
    <w:rsid w:val="00E7633C"/>
    <w:rsid w:val="00E82F7B"/>
    <w:rsid w:val="00E86EB6"/>
    <w:rsid w:val="00E87C75"/>
    <w:rsid w:val="00E91BE7"/>
    <w:rsid w:val="00EA3D83"/>
    <w:rsid w:val="00EA5C73"/>
    <w:rsid w:val="00EB2B70"/>
    <w:rsid w:val="00EC12D2"/>
    <w:rsid w:val="00EC7F02"/>
    <w:rsid w:val="00ED3C18"/>
    <w:rsid w:val="00ED3EB0"/>
    <w:rsid w:val="00ED75A4"/>
    <w:rsid w:val="00EE3C40"/>
    <w:rsid w:val="00EE6172"/>
    <w:rsid w:val="00F00FF6"/>
    <w:rsid w:val="00F02A99"/>
    <w:rsid w:val="00F06F38"/>
    <w:rsid w:val="00F11900"/>
    <w:rsid w:val="00F14FA0"/>
    <w:rsid w:val="00F22E2F"/>
    <w:rsid w:val="00F258FF"/>
    <w:rsid w:val="00F2625E"/>
    <w:rsid w:val="00F36191"/>
    <w:rsid w:val="00F375F1"/>
    <w:rsid w:val="00F43AE5"/>
    <w:rsid w:val="00F46BDF"/>
    <w:rsid w:val="00F53A5E"/>
    <w:rsid w:val="00F558E0"/>
    <w:rsid w:val="00F561D3"/>
    <w:rsid w:val="00F644D2"/>
    <w:rsid w:val="00F71427"/>
    <w:rsid w:val="00F71D6A"/>
    <w:rsid w:val="00F75805"/>
    <w:rsid w:val="00F832D8"/>
    <w:rsid w:val="00F90FCA"/>
    <w:rsid w:val="00FA4E36"/>
    <w:rsid w:val="00FA65F6"/>
    <w:rsid w:val="00FC2A60"/>
    <w:rsid w:val="00FD0A95"/>
    <w:rsid w:val="00FD0D4E"/>
    <w:rsid w:val="00FD2BC5"/>
    <w:rsid w:val="00FE291D"/>
    <w:rsid w:val="00FE584C"/>
    <w:rsid w:val="00FF30C3"/>
    <w:rsid w:val="00FF3D21"/>
    <w:rsid w:val="01421E40"/>
    <w:rsid w:val="067B371F"/>
    <w:rsid w:val="07B35D3E"/>
    <w:rsid w:val="092669FE"/>
    <w:rsid w:val="09746C7F"/>
    <w:rsid w:val="097A62EA"/>
    <w:rsid w:val="0B611CF0"/>
    <w:rsid w:val="0BD32910"/>
    <w:rsid w:val="0CE71E24"/>
    <w:rsid w:val="0E91775B"/>
    <w:rsid w:val="10D24953"/>
    <w:rsid w:val="11CE699F"/>
    <w:rsid w:val="13C94C15"/>
    <w:rsid w:val="152E2813"/>
    <w:rsid w:val="16395E12"/>
    <w:rsid w:val="16CD216D"/>
    <w:rsid w:val="177902DF"/>
    <w:rsid w:val="177D5FFA"/>
    <w:rsid w:val="17BB7976"/>
    <w:rsid w:val="18AB49B7"/>
    <w:rsid w:val="18BE131B"/>
    <w:rsid w:val="19174B43"/>
    <w:rsid w:val="1F1A24F9"/>
    <w:rsid w:val="1F7B1682"/>
    <w:rsid w:val="1FF92D55"/>
    <w:rsid w:val="215C57F8"/>
    <w:rsid w:val="217C21D2"/>
    <w:rsid w:val="21B5573A"/>
    <w:rsid w:val="22007B4F"/>
    <w:rsid w:val="221A374B"/>
    <w:rsid w:val="222866A1"/>
    <w:rsid w:val="225A4C7A"/>
    <w:rsid w:val="22CC2924"/>
    <w:rsid w:val="235F7738"/>
    <w:rsid w:val="287E0594"/>
    <w:rsid w:val="2C1F2D9C"/>
    <w:rsid w:val="2C680433"/>
    <w:rsid w:val="2CAD6BA8"/>
    <w:rsid w:val="2D8F3EBE"/>
    <w:rsid w:val="31656472"/>
    <w:rsid w:val="338A6E6C"/>
    <w:rsid w:val="33FE6787"/>
    <w:rsid w:val="35E43F2F"/>
    <w:rsid w:val="368C76E8"/>
    <w:rsid w:val="36BB5604"/>
    <w:rsid w:val="378547AA"/>
    <w:rsid w:val="3BBF6845"/>
    <w:rsid w:val="3C646BB2"/>
    <w:rsid w:val="3C74023E"/>
    <w:rsid w:val="3C98328E"/>
    <w:rsid w:val="3D2900E3"/>
    <w:rsid w:val="3D9814E6"/>
    <w:rsid w:val="3E4E6EFC"/>
    <w:rsid w:val="3EE3180B"/>
    <w:rsid w:val="40927475"/>
    <w:rsid w:val="412D5350"/>
    <w:rsid w:val="418B7AAD"/>
    <w:rsid w:val="42462956"/>
    <w:rsid w:val="42533AFA"/>
    <w:rsid w:val="4317240D"/>
    <w:rsid w:val="43204CBB"/>
    <w:rsid w:val="43260BC6"/>
    <w:rsid w:val="442867AC"/>
    <w:rsid w:val="47DC00D6"/>
    <w:rsid w:val="47F43FAF"/>
    <w:rsid w:val="48560ED2"/>
    <w:rsid w:val="48BE57D1"/>
    <w:rsid w:val="48C53E4D"/>
    <w:rsid w:val="49F826F8"/>
    <w:rsid w:val="49FE6695"/>
    <w:rsid w:val="4BA45B30"/>
    <w:rsid w:val="4CA62CB7"/>
    <w:rsid w:val="4D1B5149"/>
    <w:rsid w:val="50B178EF"/>
    <w:rsid w:val="52C40A71"/>
    <w:rsid w:val="548B2716"/>
    <w:rsid w:val="54A7318A"/>
    <w:rsid w:val="54DF3399"/>
    <w:rsid w:val="54E469FC"/>
    <w:rsid w:val="56024BA5"/>
    <w:rsid w:val="56813685"/>
    <w:rsid w:val="579C27EB"/>
    <w:rsid w:val="58F03289"/>
    <w:rsid w:val="59B16F2F"/>
    <w:rsid w:val="5A59776A"/>
    <w:rsid w:val="5C0F10E4"/>
    <w:rsid w:val="5DC64A9A"/>
    <w:rsid w:val="5E440F2C"/>
    <w:rsid w:val="5E9500C8"/>
    <w:rsid w:val="61E81617"/>
    <w:rsid w:val="6436299D"/>
    <w:rsid w:val="64386004"/>
    <w:rsid w:val="65AE73C9"/>
    <w:rsid w:val="661E5ADC"/>
    <w:rsid w:val="670214FA"/>
    <w:rsid w:val="67BC0DAE"/>
    <w:rsid w:val="6940281D"/>
    <w:rsid w:val="694103F9"/>
    <w:rsid w:val="69B322D6"/>
    <w:rsid w:val="6BCE7335"/>
    <w:rsid w:val="6D09791A"/>
    <w:rsid w:val="6F1F1DFC"/>
    <w:rsid w:val="71AB132F"/>
    <w:rsid w:val="72733CE6"/>
    <w:rsid w:val="74ED541D"/>
    <w:rsid w:val="74FE1EEB"/>
    <w:rsid w:val="77826FD8"/>
    <w:rsid w:val="77DB2EAC"/>
    <w:rsid w:val="77E55545"/>
    <w:rsid w:val="780550D3"/>
    <w:rsid w:val="79474E59"/>
    <w:rsid w:val="7980679B"/>
    <w:rsid w:val="7A453E4C"/>
    <w:rsid w:val="7A99220D"/>
    <w:rsid w:val="7C4C52DF"/>
    <w:rsid w:val="7EC356EB"/>
    <w:rsid w:val="7FCB7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ind w:firstLine="142"/>
      <w:outlineLvl w:val="0"/>
    </w:pPr>
    <w:rPr>
      <w:rFonts w:ascii="华文仿宋" w:hAnsi="华文仿宋" w:eastAsia="华文仿宋"/>
      <w:b/>
      <w:bCs/>
      <w:kern w:val="44"/>
      <w:sz w:val="36"/>
      <w:szCs w:val="44"/>
    </w:rPr>
  </w:style>
  <w:style w:type="paragraph" w:styleId="3">
    <w:name w:val="heading 2"/>
    <w:basedOn w:val="1"/>
    <w:next w:val="1"/>
    <w:link w:val="34"/>
    <w:unhideWhenUsed/>
    <w:qFormat/>
    <w:uiPriority w:val="9"/>
    <w:pPr>
      <w:keepNext/>
      <w:keepLines/>
      <w:spacing w:before="260" w:after="260" w:line="416" w:lineRule="auto"/>
      <w:ind w:firstLine="426"/>
      <w:outlineLvl w:val="1"/>
    </w:pPr>
    <w:rPr>
      <w:rFonts w:ascii="华文仿宋" w:hAnsi="华文仿宋" w:eastAsia="华文仿宋"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4"/>
    <w:semiHidden/>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semiHidden/>
    <w:unhideWhenUsed/>
    <w:qFormat/>
    <w:uiPriority w:val="99"/>
    <w:pPr>
      <w:jc w:val="left"/>
    </w:pPr>
  </w:style>
  <w:style w:type="paragraph" w:styleId="7">
    <w:name w:val="Body Text"/>
    <w:basedOn w:val="1"/>
    <w:next w:val="8"/>
    <w:qFormat/>
    <w:uiPriority w:val="0"/>
    <w:pPr>
      <w:spacing w:after="120"/>
    </w:pPr>
  </w:style>
  <w:style w:type="paragraph" w:customStyle="1" w:styleId="8">
    <w:name w:val="Default"/>
    <w:qFormat/>
    <w:uiPriority w:val="0"/>
    <w:pPr>
      <w:widowControl w:val="0"/>
    </w:pPr>
    <w:rPr>
      <w:rFonts w:ascii="宋体" w:hAnsi="宋体" w:eastAsia="宋体" w:cs="宋体"/>
      <w:color w:val="000000"/>
      <w:sz w:val="24"/>
      <w:szCs w:val="24"/>
      <w:lang w:val="en-US" w:eastAsia="zh-CN" w:bidi="ar-SA"/>
    </w:rPr>
  </w:style>
  <w:style w:type="paragraph" w:styleId="9">
    <w:name w:val="Body Text Indent"/>
    <w:basedOn w:val="1"/>
    <w:next w:val="10"/>
    <w:qFormat/>
    <w:uiPriority w:val="0"/>
    <w:pPr>
      <w:ind w:firstLine="830" w:firstLineChars="352"/>
    </w:pPr>
    <w:rPr>
      <w:rFonts w:ascii="仿宋_GB2312" w:eastAsia="仿宋_GB2312"/>
      <w:kern w:val="0"/>
      <w:sz w:val="32"/>
      <w:szCs w:val="20"/>
    </w:rPr>
  </w:style>
  <w:style w:type="paragraph" w:styleId="10">
    <w:name w:val="envelope return"/>
    <w:basedOn w:val="1"/>
    <w:qFormat/>
    <w:uiPriority w:val="0"/>
    <w:pPr>
      <w:snapToGrid w:val="0"/>
    </w:pPr>
    <w:rPr>
      <w:rFonts w:ascii="Arial" w:hAnsi="Arial" w:cs="Arial"/>
    </w:rPr>
  </w:style>
  <w:style w:type="paragraph" w:styleId="11">
    <w:name w:val="Balloon Text"/>
    <w:basedOn w:val="1"/>
    <w:link w:val="32"/>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33"/>
    <w:qFormat/>
    <w:uiPriority w:val="1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6"/>
    <w:next w:val="6"/>
    <w:link w:val="36"/>
    <w:semiHidden/>
    <w:unhideWhenUsed/>
    <w:qFormat/>
    <w:uiPriority w:val="99"/>
    <w:rPr>
      <w:b/>
      <w:bCs/>
    </w:rPr>
  </w:style>
  <w:style w:type="paragraph" w:styleId="17">
    <w:name w:val="Body Text First Indent 2"/>
    <w:basedOn w:val="9"/>
    <w:next w:val="7"/>
    <w:qFormat/>
    <w:uiPriority w:val="0"/>
    <w:pPr>
      <w:ind w:leftChars="0" w:firstLine="210"/>
    </w:pPr>
    <w:rPr>
      <w:szCs w:val="20"/>
    </w:rPr>
  </w:style>
  <w:style w:type="character" w:styleId="20">
    <w:name w:val="Strong"/>
    <w:basedOn w:val="19"/>
    <w:qFormat/>
    <w:uiPriority w:val="22"/>
    <w:rPr>
      <w:b/>
      <w:bCs/>
    </w:rPr>
  </w:style>
  <w:style w:type="character" w:styleId="21">
    <w:name w:val="annotation reference"/>
    <w:basedOn w:val="19"/>
    <w:semiHidden/>
    <w:unhideWhenUsed/>
    <w:qFormat/>
    <w:uiPriority w:val="99"/>
    <w:rPr>
      <w:sz w:val="21"/>
      <w:szCs w:val="21"/>
    </w:rPr>
  </w:style>
  <w:style w:type="character" w:customStyle="1" w:styleId="22">
    <w:name w:val="标题 3 字符"/>
    <w:basedOn w:val="19"/>
    <w:link w:val="4"/>
    <w:qFormat/>
    <w:uiPriority w:val="9"/>
    <w:rPr>
      <w:b/>
      <w:bCs/>
      <w:sz w:val="32"/>
      <w:szCs w:val="32"/>
    </w:rPr>
  </w:style>
  <w:style w:type="character" w:customStyle="1" w:styleId="23">
    <w:name w:val="标题 1 字符"/>
    <w:basedOn w:val="19"/>
    <w:link w:val="2"/>
    <w:qFormat/>
    <w:uiPriority w:val="9"/>
    <w:rPr>
      <w:rFonts w:ascii="华文仿宋" w:hAnsi="华文仿宋" w:eastAsia="华文仿宋"/>
      <w:b/>
      <w:bCs/>
      <w:kern w:val="44"/>
      <w:sz w:val="36"/>
      <w:szCs w:val="44"/>
    </w:rPr>
  </w:style>
  <w:style w:type="character" w:customStyle="1" w:styleId="24">
    <w:name w:val="标题 5 字符"/>
    <w:basedOn w:val="19"/>
    <w:link w:val="5"/>
    <w:semiHidden/>
    <w:qFormat/>
    <w:uiPriority w:val="9"/>
    <w:rPr>
      <w:b/>
      <w:bCs/>
      <w:sz w:val="28"/>
      <w:szCs w:val="28"/>
    </w:rPr>
  </w:style>
  <w:style w:type="paragraph" w:customStyle="1" w:styleId="25">
    <w:name w:val="列出段落1"/>
    <w:basedOn w:val="1"/>
    <w:link w:val="26"/>
    <w:qFormat/>
    <w:uiPriority w:val="0"/>
    <w:pPr>
      <w:autoSpaceDE w:val="0"/>
      <w:autoSpaceDN w:val="0"/>
      <w:adjustRightInd w:val="0"/>
      <w:spacing w:line="360" w:lineRule="auto"/>
      <w:ind w:firstLine="420" w:firstLineChars="200"/>
      <w:jc w:val="left"/>
    </w:pPr>
    <w:rPr>
      <w:rFonts w:ascii="Times New Roman" w:hAnsi="Times New Roman" w:eastAsia="宋体" w:cs="Times New Roman"/>
      <w:snapToGrid w:val="0"/>
      <w:kern w:val="0"/>
      <w:szCs w:val="21"/>
    </w:rPr>
  </w:style>
  <w:style w:type="character" w:customStyle="1" w:styleId="26">
    <w:name w:val="列出段落 Char"/>
    <w:link w:val="25"/>
    <w:qFormat/>
    <w:uiPriority w:val="0"/>
    <w:rPr>
      <w:rFonts w:ascii="Times New Roman" w:hAnsi="Times New Roman" w:eastAsia="宋体" w:cs="Times New Roman"/>
      <w:snapToGrid w:val="0"/>
      <w:kern w:val="0"/>
      <w:szCs w:val="21"/>
    </w:rPr>
  </w:style>
  <w:style w:type="paragraph" w:styleId="27">
    <w:name w:val="List Paragraph"/>
    <w:basedOn w:val="1"/>
    <w:link w:val="37"/>
    <w:qFormat/>
    <w:uiPriority w:val="34"/>
    <w:pPr>
      <w:numPr>
        <w:ilvl w:val="0"/>
        <w:numId w:val="1"/>
      </w:numPr>
      <w:spacing w:line="360" w:lineRule="auto"/>
    </w:pPr>
    <w:rPr>
      <w:rFonts w:ascii="华文仿宋" w:hAnsi="华文仿宋" w:eastAsia="华文仿宋" w:cs="Times New Roman"/>
      <w:sz w:val="24"/>
      <w:szCs w:val="24"/>
    </w:rPr>
  </w:style>
  <w:style w:type="character" w:customStyle="1" w:styleId="28">
    <w:name w:val="页眉 字符"/>
    <w:basedOn w:val="19"/>
    <w:link w:val="13"/>
    <w:qFormat/>
    <w:uiPriority w:val="99"/>
    <w:rPr>
      <w:rFonts w:ascii="Times New Roman" w:hAnsi="Times New Roman" w:eastAsia="宋体" w:cs="Times New Roman"/>
      <w:sz w:val="18"/>
      <w:szCs w:val="18"/>
    </w:rPr>
  </w:style>
  <w:style w:type="paragraph" w:customStyle="1" w:styleId="29">
    <w:name w:val="售前正文"/>
    <w:basedOn w:val="1"/>
    <w:link w:val="30"/>
    <w:qFormat/>
    <w:uiPriority w:val="0"/>
    <w:pPr>
      <w:widowControl/>
      <w:spacing w:line="360" w:lineRule="auto"/>
      <w:ind w:left="426" w:leftChars="213" w:right="106" w:rightChars="53" w:firstLine="480" w:firstLineChars="200"/>
    </w:pPr>
    <w:rPr>
      <w:rFonts w:ascii="微软雅黑" w:hAnsi="微软雅黑" w:eastAsia="微软雅黑" w:cs="Times New Roman"/>
      <w:kern w:val="0"/>
      <w:sz w:val="24"/>
      <w:szCs w:val="24"/>
    </w:rPr>
  </w:style>
  <w:style w:type="character" w:customStyle="1" w:styleId="30">
    <w:name w:val="售前正文 字符"/>
    <w:basedOn w:val="19"/>
    <w:link w:val="29"/>
    <w:qFormat/>
    <w:uiPriority w:val="0"/>
    <w:rPr>
      <w:rFonts w:ascii="微软雅黑" w:hAnsi="微软雅黑" w:eastAsia="微软雅黑" w:cs="Times New Roman"/>
      <w:kern w:val="0"/>
      <w:sz w:val="24"/>
      <w:szCs w:val="24"/>
    </w:rPr>
  </w:style>
  <w:style w:type="character" w:customStyle="1" w:styleId="31">
    <w:name w:val="页脚 字符"/>
    <w:basedOn w:val="19"/>
    <w:link w:val="12"/>
    <w:qFormat/>
    <w:uiPriority w:val="99"/>
    <w:rPr>
      <w:sz w:val="18"/>
      <w:szCs w:val="18"/>
    </w:rPr>
  </w:style>
  <w:style w:type="character" w:customStyle="1" w:styleId="32">
    <w:name w:val="批注框文本 字符"/>
    <w:basedOn w:val="19"/>
    <w:link w:val="11"/>
    <w:semiHidden/>
    <w:qFormat/>
    <w:uiPriority w:val="99"/>
    <w:rPr>
      <w:sz w:val="18"/>
      <w:szCs w:val="18"/>
    </w:rPr>
  </w:style>
  <w:style w:type="character" w:customStyle="1" w:styleId="33">
    <w:name w:val="标题 字符"/>
    <w:basedOn w:val="19"/>
    <w:link w:val="15"/>
    <w:qFormat/>
    <w:uiPriority w:val="10"/>
    <w:rPr>
      <w:rFonts w:asciiTheme="majorHAnsi" w:hAnsiTheme="majorHAnsi" w:eastAsiaTheme="majorEastAsia" w:cstheme="majorBidi"/>
      <w:b/>
      <w:bCs/>
      <w:sz w:val="32"/>
      <w:szCs w:val="32"/>
    </w:rPr>
  </w:style>
  <w:style w:type="character" w:customStyle="1" w:styleId="34">
    <w:name w:val="标题 2 字符"/>
    <w:basedOn w:val="19"/>
    <w:link w:val="3"/>
    <w:qFormat/>
    <w:uiPriority w:val="9"/>
    <w:rPr>
      <w:rFonts w:ascii="华文仿宋" w:hAnsi="华文仿宋" w:eastAsia="华文仿宋" w:cstheme="majorBidi"/>
      <w:b/>
      <w:bCs/>
      <w:sz w:val="32"/>
      <w:szCs w:val="32"/>
    </w:rPr>
  </w:style>
  <w:style w:type="character" w:customStyle="1" w:styleId="35">
    <w:name w:val="批注文字 字符"/>
    <w:basedOn w:val="19"/>
    <w:link w:val="6"/>
    <w:semiHidden/>
    <w:qFormat/>
    <w:uiPriority w:val="99"/>
  </w:style>
  <w:style w:type="character" w:customStyle="1" w:styleId="36">
    <w:name w:val="批注主题 字符"/>
    <w:basedOn w:val="35"/>
    <w:link w:val="16"/>
    <w:semiHidden/>
    <w:qFormat/>
    <w:uiPriority w:val="99"/>
    <w:rPr>
      <w:b/>
      <w:bCs/>
    </w:rPr>
  </w:style>
  <w:style w:type="character" w:customStyle="1" w:styleId="37">
    <w:name w:val="列表段落 字符"/>
    <w:link w:val="27"/>
    <w:qFormat/>
    <w:locked/>
    <w:uiPriority w:val="34"/>
    <w:rPr>
      <w:rFonts w:ascii="华文仿宋" w:hAnsi="华文仿宋" w:eastAsia="华文仿宋" w:cs="Times New Roman"/>
      <w:kern w:val="2"/>
      <w:sz w:val="24"/>
      <w:szCs w:val="24"/>
    </w:rPr>
  </w:style>
  <w:style w:type="table" w:customStyle="1" w:styleId="38">
    <w:name w:val="TableGrid"/>
    <w:qFormat/>
    <w:uiPriority w:val="0"/>
    <w:tblPr>
      <w:tblCellMar>
        <w:top w:w="0" w:type="dxa"/>
        <w:left w:w="0" w:type="dxa"/>
        <w:bottom w:w="0" w:type="dxa"/>
        <w:right w:w="0" w:type="dxa"/>
      </w:tblCellMar>
    </w:tblPr>
  </w:style>
  <w:style w:type="paragraph" w:customStyle="1" w:styleId="39">
    <w:name w:val="表格文字"/>
    <w:basedOn w:val="1"/>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DA5212-C0FD-4D53-B513-F05E4CF14C3C}">
  <ds:schemaRefs/>
</ds:datastoreItem>
</file>

<file path=docProps/app.xml><?xml version="1.0" encoding="utf-8"?>
<Properties xmlns="http://schemas.openxmlformats.org/officeDocument/2006/extended-properties" xmlns:vt="http://schemas.openxmlformats.org/officeDocument/2006/docPropsVTypes">
  <Template>Normal</Template>
  <Pages>17</Pages>
  <Words>8201</Words>
  <Characters>8652</Characters>
  <Lines>62</Lines>
  <Paragraphs>17</Paragraphs>
  <TotalTime>15</TotalTime>
  <ScaleCrop>false</ScaleCrop>
  <LinksUpToDate>false</LinksUpToDate>
  <CharactersWithSpaces>8697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2021-01-25T09:15:00Z</dcterms:created>
  <dc:creator>Fangyu Hu</dc:creator>
  <cp:lastModifiedBy>abc</cp:lastModifiedBy>
  <cp:lastPrinted>2018-03-27T02:40:00Z</cp:lastPrinted>
  <dcterms:modified xsi:type="dcterms:W3CDTF">2022-06-21T13:17:44Z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A3B7CD427D9442EEAD76BB7977CE257C</vt:lpwstr>
  </property>
</Properties>
</file>