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hint="eastAsia" w:ascii="仿宋_GB2312" w:hAnsi="华文仿宋" w:eastAsia="仿宋_GB2312" w:cs="Arial"/>
          <w:b/>
          <w:color w:val="auto"/>
          <w:sz w:val="32"/>
          <w:szCs w:val="32"/>
          <w:lang w:val="en-US" w:eastAsia="zh-CN"/>
        </w:rPr>
      </w:pPr>
      <w:r>
        <w:rPr>
          <w:rFonts w:hint="eastAsia" w:ascii="仿宋_GB2312" w:hAnsi="华文仿宋" w:eastAsia="仿宋_GB2312" w:cs="Arial"/>
          <w:b/>
          <w:color w:val="auto"/>
          <w:sz w:val="32"/>
          <w:szCs w:val="32"/>
        </w:rPr>
        <w:t>评分办法：</w:t>
      </w:r>
      <w:r>
        <w:rPr>
          <w:rFonts w:hint="eastAsia" w:ascii="仿宋_GB2312" w:hAnsi="华文仿宋" w:eastAsia="仿宋_GB2312" w:cs="Arial"/>
          <w:bCs/>
          <w:color w:val="auto"/>
          <w:sz w:val="32"/>
          <w:szCs w:val="32"/>
        </w:rPr>
        <w:t>（总分100分）</w:t>
      </w:r>
      <w:r>
        <w:rPr>
          <w:rFonts w:hint="eastAsia" w:ascii="仿宋_GB2312" w:hAnsi="华文仿宋" w:eastAsia="仿宋_GB2312" w:cs="Arial"/>
          <w:bCs/>
          <w:color w:val="auto"/>
          <w:sz w:val="32"/>
          <w:szCs w:val="32"/>
          <w:lang w:val="en-US" w:eastAsia="zh-CN"/>
        </w:rPr>
        <w:t xml:space="preserve"> </w:t>
      </w:r>
    </w:p>
    <w:p>
      <w:pPr>
        <w:pStyle w:val="18"/>
        <w:ind w:firstLine="640" w:firstLineChars="200"/>
        <w:jc w:val="both"/>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本项目采用综合评分法</w:t>
      </w:r>
      <w:r>
        <w:rPr>
          <w:rFonts w:hint="eastAsia" w:ascii="仿宋_GB2312" w:hAnsi="华文仿宋" w:eastAsia="仿宋_GB2312" w:cs="Arial"/>
          <w:bCs/>
          <w:color w:val="auto"/>
          <w:sz w:val="32"/>
          <w:szCs w:val="32"/>
          <w:lang w:eastAsia="zh-CN"/>
        </w:rPr>
        <w:t>，具体如下</w:t>
      </w:r>
      <w:r>
        <w:rPr>
          <w:rFonts w:hint="eastAsia" w:ascii="仿宋_GB2312" w:hAnsi="华文仿宋" w:eastAsia="仿宋_GB2312" w:cs="Arial"/>
          <w:bCs/>
          <w:color w:val="auto"/>
          <w:sz w:val="32"/>
          <w:szCs w:val="32"/>
        </w:rPr>
        <w:t>：</w:t>
      </w:r>
    </w:p>
    <w:p>
      <w:pPr>
        <w:pStyle w:val="18"/>
        <w:rPr>
          <w:rFonts w:ascii="仿宋_GB2312" w:hAnsi="华文仿宋" w:eastAsia="仿宋_GB2312" w:cs="Arial"/>
          <w:b/>
          <w:bCs/>
          <w:color w:val="auto"/>
          <w:sz w:val="32"/>
          <w:szCs w:val="32"/>
        </w:rPr>
      </w:pPr>
      <w:r>
        <w:rPr>
          <w:rFonts w:hint="eastAsia" w:ascii="仿宋_GB2312" w:hAnsi="华文仿宋" w:eastAsia="仿宋_GB2312" w:cs="Arial"/>
          <w:b/>
          <w:bCs/>
          <w:color w:val="auto"/>
          <w:sz w:val="32"/>
          <w:szCs w:val="32"/>
        </w:rPr>
        <w:t>综合评分</w:t>
      </w:r>
    </w:p>
    <w:p>
      <w:pPr>
        <w:pStyle w:val="18"/>
        <w:ind w:firstLine="640" w:firstLineChars="200"/>
        <w:rPr>
          <w:rFonts w:hint="default" w:ascii="仿宋_GB2312" w:hAnsi="华文仿宋" w:eastAsia="仿宋_GB2312" w:cs="Arial"/>
          <w:b/>
          <w:bCs/>
          <w:color w:val="auto"/>
          <w:sz w:val="32"/>
          <w:szCs w:val="32"/>
          <w:lang w:val="en-US" w:eastAsia="zh-CN"/>
        </w:rPr>
      </w:pPr>
      <w:r>
        <w:rPr>
          <w:rFonts w:hint="eastAsia" w:ascii="仿宋_GB2312" w:hAnsi="华文仿宋" w:eastAsia="仿宋_GB2312" w:cs="Arial"/>
          <w:bCs/>
          <w:color w:val="auto"/>
          <w:sz w:val="32"/>
          <w:szCs w:val="32"/>
        </w:rPr>
        <w:t>对初步评审合格的供应商采用百分制综合评分法进行评分，评分细则如下：</w:t>
      </w:r>
      <w:r>
        <w:rPr>
          <w:rFonts w:hint="eastAsia" w:ascii="仿宋_GB2312" w:hAnsi="华文仿宋" w:eastAsia="仿宋_GB2312" w:cs="Arial"/>
          <w:bCs/>
          <w:color w:val="auto"/>
          <w:sz w:val="32"/>
          <w:szCs w:val="32"/>
          <w:lang w:val="en-US" w:eastAsia="zh-CN"/>
        </w:rPr>
        <w:t xml:space="preserve">  </w:t>
      </w:r>
      <w:bookmarkStart w:id="0" w:name="_GoBack"/>
      <w:bookmarkEnd w:id="0"/>
    </w:p>
    <w:p>
      <w:pPr>
        <w:pStyle w:val="18"/>
        <w:rPr>
          <w:rFonts w:ascii="仿宋_GB2312" w:hAnsi="华文仿宋" w:eastAsia="仿宋_GB2312" w:cs="Arial"/>
          <w:b/>
          <w:bCs/>
          <w:color w:val="auto"/>
          <w:sz w:val="32"/>
          <w:szCs w:val="32"/>
        </w:rPr>
      </w:pPr>
      <w:r>
        <w:rPr>
          <w:rFonts w:hint="eastAsia" w:ascii="仿宋_GB2312" w:hAnsi="华文仿宋" w:eastAsia="仿宋_GB2312" w:cs="Arial"/>
          <w:b/>
          <w:bCs/>
          <w:color w:val="auto"/>
          <w:sz w:val="32"/>
          <w:szCs w:val="32"/>
        </w:rPr>
        <w:t>1.价格分 （满分30分）</w:t>
      </w:r>
    </w:p>
    <w:p>
      <w:pPr>
        <w:pStyle w:val="18"/>
        <w:ind w:firstLine="320" w:firstLineChars="100"/>
        <w:rPr>
          <w:rFonts w:ascii="仿宋_GB2312" w:hAnsi="华文仿宋" w:eastAsia="仿宋_GB2312" w:cs="Arial"/>
          <w:sz w:val="32"/>
          <w:szCs w:val="32"/>
        </w:rPr>
      </w:pPr>
      <w:r>
        <w:rPr>
          <w:rFonts w:hint="eastAsia" w:ascii="仿宋_GB2312" w:hAnsi="华文仿宋" w:eastAsia="仿宋_GB2312" w:cs="Arial"/>
          <w:sz w:val="32"/>
          <w:szCs w:val="32"/>
        </w:rPr>
        <w:t>以满足采购文件实质性条款要求且投标报价最低的价格作为评审基准价，其价格分为满分。</w:t>
      </w:r>
    </w:p>
    <w:p>
      <w:pPr>
        <w:pStyle w:val="18"/>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价格分计算公式：</w:t>
      </w:r>
    </w:p>
    <w:p>
      <w:pPr>
        <w:pStyle w:val="9"/>
        <w:spacing w:line="400" w:lineRule="exact"/>
        <w:rPr>
          <w:rFonts w:ascii="仿宋_GB2312" w:hAnsi="华文仿宋" w:eastAsia="仿宋_GB2312"/>
          <w:b/>
          <w:spacing w:val="-6"/>
          <w:sz w:val="24"/>
          <w:szCs w:val="24"/>
        </w:rPr>
      </w:pPr>
      <w:r>
        <w:rPr>
          <w:rFonts w:hint="eastAsia" w:ascii="仿宋_GB2312" w:hAnsi="华文仿宋" w:eastAsia="仿宋_GB2312"/>
          <w:b/>
          <w:sz w:val="22"/>
        </w:rPr>
        <w:t xml:space="preserve">                             </w:t>
      </w:r>
      <w:r>
        <w:rPr>
          <w:rFonts w:hint="eastAsia" w:ascii="仿宋_GB2312" w:hAnsi="华文仿宋" w:eastAsia="仿宋_GB2312"/>
          <w:b/>
          <w:spacing w:val="-6"/>
          <w:sz w:val="24"/>
          <w:szCs w:val="24"/>
        </w:rPr>
        <w:t>评审基准价（</w:t>
      </w:r>
      <w:r>
        <w:rPr>
          <w:rFonts w:hint="eastAsia" w:hAnsi="宋体"/>
          <w:b/>
        </w:rPr>
        <w:t>最低供应商投标报价金额</w:t>
      </w:r>
      <w:r>
        <w:rPr>
          <w:rFonts w:hint="eastAsia" w:ascii="仿宋_GB2312" w:hAnsi="华文仿宋" w:eastAsia="仿宋_GB2312"/>
          <w:b/>
          <w:spacing w:val="-6"/>
          <w:sz w:val="24"/>
          <w:szCs w:val="24"/>
        </w:rPr>
        <w:t>）</w:t>
      </w:r>
    </w:p>
    <w:p>
      <w:pPr>
        <w:pStyle w:val="9"/>
        <w:spacing w:line="400" w:lineRule="exact"/>
        <w:ind w:right="386" w:rightChars="184" w:firstLine="229" w:firstLineChars="100"/>
        <w:rPr>
          <w:rFonts w:ascii="仿宋_GB2312" w:hAnsi="华文仿宋" w:eastAsia="仿宋_GB2312"/>
          <w:b/>
          <w:spacing w:val="-6"/>
          <w:sz w:val="24"/>
          <w:szCs w:val="24"/>
        </w:rPr>
      </w:pPr>
      <w:r>
        <w:rPr>
          <w:rFonts w:hint="eastAsia" w:ascii="仿宋_GB2312" w:hAnsi="华文仿宋" w:eastAsia="仿宋_GB2312"/>
          <w:b/>
          <w:spacing w:val="-6"/>
          <w:sz w:val="24"/>
          <w:szCs w:val="24"/>
        </w:rPr>
        <w:t xml:space="preserve">某有效供应商价格分=   </w:t>
      </w:r>
      <w:r>
        <w:rPr>
          <w:rFonts w:hint="eastAsia" w:ascii="仿宋_GB2312" w:hAnsi="华文仿宋" w:eastAsia="仿宋_GB2312"/>
          <w:b/>
          <w:bCs/>
          <w:spacing w:val="-6"/>
          <w:sz w:val="24"/>
          <w:szCs w:val="24"/>
        </w:rPr>
        <w:t xml:space="preserve">--------------------------------------  </w:t>
      </w:r>
      <w:r>
        <w:rPr>
          <w:rFonts w:hint="eastAsia" w:ascii="仿宋_GB2312" w:hAnsi="华文仿宋" w:eastAsia="仿宋_GB2312"/>
          <w:b/>
          <w:spacing w:val="-6"/>
          <w:sz w:val="24"/>
          <w:szCs w:val="24"/>
        </w:rPr>
        <w:t>×30分</w:t>
      </w:r>
    </w:p>
    <w:p>
      <w:pPr>
        <w:pStyle w:val="9"/>
        <w:spacing w:line="400" w:lineRule="exact"/>
        <w:ind w:right="386" w:rightChars="184"/>
        <w:rPr>
          <w:rFonts w:ascii="仿宋_GB2312" w:hAnsi="华文仿宋" w:eastAsia="仿宋_GB2312"/>
          <w:b/>
          <w:spacing w:val="-6"/>
          <w:sz w:val="24"/>
          <w:szCs w:val="24"/>
        </w:rPr>
      </w:pPr>
      <w:r>
        <w:rPr>
          <w:rFonts w:hint="eastAsia" w:ascii="仿宋_GB2312" w:hAnsi="华文仿宋" w:eastAsia="仿宋_GB2312"/>
          <w:b/>
          <w:spacing w:val="-6"/>
          <w:sz w:val="24"/>
          <w:szCs w:val="24"/>
        </w:rPr>
        <w:t xml:space="preserve">                              供应商的投标报价</w:t>
      </w:r>
      <w:r>
        <w:rPr>
          <w:rFonts w:hint="eastAsia" w:hAnsi="宋体"/>
          <w:b/>
        </w:rPr>
        <w:t>金额</w:t>
      </w:r>
    </w:p>
    <w:p>
      <w:pPr>
        <w:pStyle w:val="18"/>
        <w:rPr>
          <w:rFonts w:ascii="仿宋_GB2312" w:hAnsi="华文仿宋" w:eastAsia="仿宋_GB2312" w:cs="Arial"/>
          <w:b/>
          <w:bCs/>
          <w:color w:val="auto"/>
          <w:sz w:val="32"/>
          <w:szCs w:val="32"/>
        </w:rPr>
      </w:pPr>
    </w:p>
    <w:p>
      <w:pPr>
        <w:pStyle w:val="18"/>
        <w:rPr>
          <w:rFonts w:ascii="仿宋_GB2312" w:hAnsi="华文仿宋" w:eastAsia="仿宋_GB2312" w:cs="Arial"/>
          <w:b/>
          <w:bCs/>
          <w:color w:val="auto"/>
          <w:sz w:val="32"/>
          <w:szCs w:val="32"/>
        </w:rPr>
      </w:pPr>
      <w:r>
        <w:rPr>
          <w:rFonts w:hint="eastAsia" w:ascii="仿宋_GB2312" w:hAnsi="华文仿宋" w:eastAsia="仿宋_GB2312" w:cs="Arial"/>
          <w:b/>
          <w:bCs/>
          <w:color w:val="auto"/>
          <w:sz w:val="32"/>
          <w:szCs w:val="32"/>
        </w:rPr>
        <w:t>2.技术分（满分</w:t>
      </w:r>
      <w:r>
        <w:rPr>
          <w:rFonts w:hint="eastAsia" w:ascii="仿宋_GB2312" w:hAnsi="华文仿宋" w:eastAsia="仿宋_GB2312" w:cs="Arial"/>
          <w:b/>
          <w:bCs/>
          <w:color w:val="auto"/>
          <w:sz w:val="32"/>
          <w:szCs w:val="32"/>
          <w:lang w:val="en-US" w:eastAsia="zh-CN"/>
        </w:rPr>
        <w:t>43</w:t>
      </w:r>
      <w:r>
        <w:rPr>
          <w:rFonts w:hint="eastAsia" w:ascii="仿宋_GB2312" w:hAnsi="华文仿宋" w:eastAsia="仿宋_GB2312" w:cs="Arial"/>
          <w:b/>
          <w:bCs/>
          <w:color w:val="auto"/>
          <w:sz w:val="32"/>
          <w:szCs w:val="32"/>
        </w:rPr>
        <w:t>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 xml:space="preserve">（1）技术参数表响应分（16分）                                                                                 </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评委根据采购文件要求，对进入详细评审的各供应商对采购文件“技术参数表”的响应情况进行评审，并按如下计分方式确定得分：</w:t>
      </w:r>
    </w:p>
    <w:p>
      <w:pPr>
        <w:pStyle w:val="18"/>
        <w:ind w:firstLine="616" w:firstLineChars="200"/>
        <w:rPr>
          <w:rFonts w:ascii="仿宋_GB2312" w:hAnsi="宋体" w:eastAsia="仿宋_GB2312"/>
          <w:spacing w:val="-6"/>
          <w:sz w:val="32"/>
          <w:szCs w:val="32"/>
        </w:rPr>
      </w:pPr>
      <w:r>
        <w:rPr>
          <w:rFonts w:hint="eastAsia" w:ascii="仿宋_GB2312" w:hAnsi="华文仿宋" w:eastAsia="仿宋_GB2312" w:cs="Arial"/>
          <w:bCs/>
          <w:color w:val="auto"/>
          <w:spacing w:val="-6"/>
          <w:sz w:val="32"/>
          <w:szCs w:val="32"/>
        </w:rPr>
        <w:t>①基本分：满足采购文件全部</w:t>
      </w:r>
      <w:r>
        <w:rPr>
          <w:rFonts w:hint="eastAsia" w:ascii="仿宋_GB2312" w:hAnsi="宋体" w:eastAsia="仿宋_GB2312"/>
          <w:spacing w:val="-6"/>
          <w:sz w:val="32"/>
          <w:szCs w:val="32"/>
        </w:rPr>
        <w:t>条款要求的，即得16分；</w:t>
      </w:r>
    </w:p>
    <w:p>
      <w:pPr>
        <w:pStyle w:val="18"/>
        <w:ind w:firstLine="592" w:firstLineChars="200"/>
        <w:rPr>
          <w:rFonts w:ascii="仿宋_GB2312" w:hAnsi="华文仿宋" w:eastAsia="仿宋_GB2312" w:cs="Arial"/>
          <w:bCs/>
          <w:color w:val="auto"/>
          <w:spacing w:val="-12"/>
          <w:sz w:val="32"/>
          <w:szCs w:val="32"/>
        </w:rPr>
      </w:pPr>
      <w:r>
        <w:rPr>
          <w:rFonts w:hint="eastAsia" w:ascii="仿宋_GB2312" w:hAnsi="宋体" w:eastAsia="仿宋_GB2312"/>
          <w:spacing w:val="-12"/>
          <w:sz w:val="32"/>
          <w:szCs w:val="32"/>
        </w:rPr>
        <w:t>②</w:t>
      </w:r>
      <w:r>
        <w:rPr>
          <w:rFonts w:hint="eastAsia" w:ascii="仿宋_GB2312" w:hAnsi="华文仿宋" w:eastAsia="仿宋_GB2312" w:cs="Arial"/>
          <w:bCs/>
          <w:color w:val="auto"/>
          <w:spacing w:val="-12"/>
          <w:sz w:val="32"/>
          <w:szCs w:val="32"/>
        </w:rPr>
        <w:t>发生负偏离的，每有1项扣</w:t>
      </w:r>
      <w:r>
        <w:rPr>
          <w:rFonts w:hint="eastAsia" w:ascii="仿宋_GB2312" w:hAnsi="华文仿宋" w:eastAsia="仿宋_GB2312" w:cs="Arial"/>
          <w:bCs/>
          <w:color w:val="auto"/>
          <w:spacing w:val="-12"/>
          <w:sz w:val="32"/>
          <w:szCs w:val="32"/>
          <w:lang w:val="en-US" w:eastAsia="zh-CN"/>
        </w:rPr>
        <w:t>2</w:t>
      </w:r>
      <w:r>
        <w:rPr>
          <w:rFonts w:hint="eastAsia" w:ascii="仿宋_GB2312" w:hAnsi="华文仿宋" w:eastAsia="仿宋_GB2312" w:cs="Arial"/>
          <w:bCs/>
          <w:color w:val="auto"/>
          <w:spacing w:val="-12"/>
          <w:sz w:val="32"/>
          <w:szCs w:val="32"/>
        </w:rPr>
        <w:t>分，最多扣16分。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（2）系统整体技术实施方案分（9分）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一档（3分）：技术实施方案内容整体简单，可行性及针对性差；</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二档（6分）：技术实施方案中的系统软件整体架构设计较合理；各系统功能实现的技术方案具有一定的针对性；拟投入本项目实施的人员架构较合理；实施工作日程及时间进度安排符合本项目进度要求，方案整体具有一定的可行性。</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二档（9分）：技术实施方案中的系统软件整体架构设计科学可行；各系统功能实现的技术方案科学合理、针对性强；拟投入本项目实施的人员架构合理，专业技术能力强；实施工作日程及时间进度安排合理可行，能有效保证项目进度和质量要求；方案整体可行性、针对性强，对项目实施能起到有利的保障作用。</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（3）系统功能演示分（</w:t>
      </w:r>
      <w:r>
        <w:rPr>
          <w:rFonts w:hint="eastAsia" w:ascii="仿宋_GB2312" w:hAnsi="华文仿宋" w:eastAsia="仿宋_GB2312" w:cs="Arial"/>
          <w:bCs/>
          <w:color w:val="auto"/>
          <w:sz w:val="32"/>
          <w:szCs w:val="32"/>
          <w:lang w:val="en-US" w:eastAsia="zh-CN"/>
        </w:rPr>
        <w:t>18</w:t>
      </w:r>
      <w:r>
        <w:rPr>
          <w:rFonts w:hint="eastAsia" w:ascii="仿宋_GB2312" w:hAnsi="华文仿宋" w:eastAsia="仿宋_GB2312" w:cs="Arial"/>
          <w:bCs/>
          <w:color w:val="auto"/>
          <w:sz w:val="32"/>
          <w:szCs w:val="32"/>
        </w:rPr>
        <w:t xml:space="preserve">分）  </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①供应商依据本项目</w:t>
      </w:r>
      <w:r>
        <w:rPr>
          <w:rFonts w:hint="eastAsia" w:ascii="仿宋_GB2312" w:hAnsi="华文仿宋" w:eastAsia="仿宋_GB2312" w:cs="Arial"/>
          <w:bCs/>
          <w:color w:val="auto"/>
          <w:sz w:val="32"/>
          <w:szCs w:val="32"/>
          <w:lang w:eastAsia="zh-CN"/>
        </w:rPr>
        <w:t>中</w:t>
      </w:r>
      <w:r>
        <w:rPr>
          <w:rFonts w:hint="eastAsia" w:ascii="仿宋_GB2312" w:hAnsi="华文仿宋" w:eastAsia="仿宋_GB2312" w:cs="Arial"/>
          <w:bCs/>
          <w:color w:val="auto"/>
          <w:sz w:val="32"/>
          <w:szCs w:val="32"/>
          <w:lang w:val="en-US" w:eastAsia="zh-CN"/>
        </w:rPr>
        <w:t>6</w:t>
      </w:r>
      <w:r>
        <w:rPr>
          <w:rFonts w:hint="eastAsia" w:ascii="仿宋_GB2312" w:hAnsi="华文仿宋" w:eastAsia="仿宋_GB2312" w:cs="Arial"/>
          <w:bCs/>
          <w:color w:val="auto"/>
          <w:sz w:val="32"/>
          <w:szCs w:val="32"/>
          <w:lang w:eastAsia="zh-CN"/>
        </w:rPr>
        <w:t>个子系统</w:t>
      </w:r>
      <w:r>
        <w:rPr>
          <w:rFonts w:hint="eastAsia" w:ascii="仿宋_GB2312" w:hAnsi="华文仿宋" w:eastAsia="仿宋_GB2312" w:cs="Arial"/>
          <w:bCs/>
          <w:color w:val="auto"/>
          <w:sz w:val="32"/>
          <w:szCs w:val="32"/>
        </w:rPr>
        <w:t>进行现场功能演示，每成功完成1项产品的功能演示的，得</w:t>
      </w:r>
      <w:r>
        <w:rPr>
          <w:rFonts w:hint="eastAsia" w:ascii="仿宋_GB2312" w:hAnsi="华文仿宋" w:eastAsia="仿宋_GB2312" w:cs="Arial"/>
          <w:bCs/>
          <w:color w:val="auto"/>
          <w:sz w:val="32"/>
          <w:szCs w:val="32"/>
          <w:lang w:val="en-US" w:eastAsia="zh-CN"/>
        </w:rPr>
        <w:t>1</w:t>
      </w:r>
      <w:r>
        <w:rPr>
          <w:rFonts w:hint="eastAsia" w:ascii="仿宋_GB2312" w:hAnsi="华文仿宋" w:eastAsia="仿宋_GB2312" w:cs="Arial"/>
          <w:bCs/>
          <w:color w:val="auto"/>
          <w:sz w:val="32"/>
          <w:szCs w:val="32"/>
        </w:rPr>
        <w:t>分，最多得</w:t>
      </w:r>
      <w:r>
        <w:rPr>
          <w:rFonts w:hint="eastAsia" w:ascii="仿宋_GB2312" w:hAnsi="华文仿宋" w:eastAsia="仿宋_GB2312" w:cs="Arial"/>
          <w:bCs/>
          <w:color w:val="auto"/>
          <w:sz w:val="32"/>
          <w:szCs w:val="32"/>
          <w:lang w:val="en-US" w:eastAsia="zh-CN"/>
        </w:rPr>
        <w:t>6</w:t>
      </w:r>
      <w:r>
        <w:rPr>
          <w:rFonts w:hint="eastAsia" w:ascii="仿宋_GB2312" w:hAnsi="华文仿宋" w:eastAsia="仿宋_GB2312" w:cs="Arial"/>
          <w:bCs/>
          <w:color w:val="auto"/>
          <w:sz w:val="32"/>
          <w:szCs w:val="32"/>
        </w:rPr>
        <w:t>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②系统功能演示效果分（</w:t>
      </w:r>
      <w:r>
        <w:rPr>
          <w:rFonts w:hint="eastAsia" w:ascii="仿宋_GB2312" w:hAnsi="华文仿宋" w:eastAsia="仿宋_GB2312" w:cs="Arial"/>
          <w:bCs/>
          <w:color w:val="auto"/>
          <w:sz w:val="32"/>
          <w:szCs w:val="32"/>
          <w:lang w:val="en-US" w:eastAsia="zh-CN"/>
        </w:rPr>
        <w:t>12</w:t>
      </w:r>
      <w:r>
        <w:rPr>
          <w:rFonts w:hint="eastAsia" w:ascii="仿宋_GB2312" w:hAnsi="华文仿宋" w:eastAsia="仿宋_GB2312" w:cs="Arial"/>
          <w:bCs/>
          <w:color w:val="auto"/>
          <w:sz w:val="32"/>
          <w:szCs w:val="32"/>
        </w:rPr>
        <w:t>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评委对各供应商就所竞“</w:t>
      </w:r>
      <w:r>
        <w:rPr>
          <w:rFonts w:hint="eastAsia" w:ascii="仿宋_GB2312" w:hAnsi="华文仿宋" w:eastAsia="仿宋_GB2312" w:cs="Arial"/>
          <w:bCs/>
          <w:color w:val="auto"/>
          <w:sz w:val="32"/>
          <w:szCs w:val="32"/>
          <w:lang w:val="en-US" w:eastAsia="zh-CN"/>
        </w:rPr>
        <w:t>HRP</w:t>
      </w:r>
      <w:r>
        <w:rPr>
          <w:rFonts w:hint="eastAsia" w:ascii="仿宋_GB2312" w:hAnsi="华文仿宋" w:eastAsia="仿宋_GB2312" w:cs="Arial"/>
          <w:bCs/>
          <w:color w:val="auto"/>
          <w:sz w:val="32"/>
          <w:szCs w:val="32"/>
        </w:rPr>
        <w:t>系统软件”</w:t>
      </w:r>
      <w:r>
        <w:rPr>
          <w:rFonts w:hint="eastAsia" w:ascii="仿宋_GB2312" w:hAnsi="华文仿宋" w:eastAsia="仿宋_GB2312" w:cs="Arial"/>
          <w:bCs/>
          <w:color w:val="auto"/>
          <w:sz w:val="32"/>
          <w:szCs w:val="32"/>
          <w:lang w:val="en-US" w:eastAsia="zh-CN"/>
        </w:rPr>
        <w:t>6个子系统</w:t>
      </w:r>
      <w:r>
        <w:rPr>
          <w:rFonts w:hint="eastAsia" w:ascii="仿宋_GB2312" w:hAnsi="华文仿宋" w:eastAsia="仿宋_GB2312" w:cs="Arial"/>
          <w:bCs/>
          <w:color w:val="auto"/>
          <w:sz w:val="32"/>
          <w:szCs w:val="32"/>
        </w:rPr>
        <w:t>的相关功能现场演示的可视化设计及效果、各系统功能应用与对接程度、功能设计科学性等方面进行评审：</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一档（</w:t>
      </w:r>
      <w:r>
        <w:rPr>
          <w:rFonts w:hint="eastAsia" w:ascii="仿宋_GB2312" w:hAnsi="华文仿宋" w:eastAsia="仿宋_GB2312" w:cs="Arial"/>
          <w:bCs/>
          <w:color w:val="auto"/>
          <w:sz w:val="32"/>
          <w:szCs w:val="32"/>
          <w:lang w:val="en-US" w:eastAsia="zh-CN"/>
        </w:rPr>
        <w:t>6</w:t>
      </w:r>
      <w:r>
        <w:rPr>
          <w:rFonts w:hint="eastAsia" w:ascii="仿宋_GB2312" w:hAnsi="华文仿宋" w:eastAsia="仿宋_GB2312" w:cs="Arial"/>
          <w:bCs/>
          <w:color w:val="auto"/>
          <w:sz w:val="32"/>
          <w:szCs w:val="32"/>
        </w:rPr>
        <w:t>分）：系统功能可视化设计及效果、各系统功能应用与对接程度、功能设计科学性等方面综合评定一般的；</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二档（</w:t>
      </w:r>
      <w:r>
        <w:rPr>
          <w:rFonts w:hint="eastAsia" w:ascii="仿宋_GB2312" w:hAnsi="华文仿宋" w:eastAsia="仿宋_GB2312" w:cs="Arial"/>
          <w:bCs/>
          <w:color w:val="auto"/>
          <w:sz w:val="32"/>
          <w:szCs w:val="32"/>
          <w:lang w:val="en-US" w:eastAsia="zh-CN"/>
        </w:rPr>
        <w:t>9</w:t>
      </w:r>
      <w:r>
        <w:rPr>
          <w:rFonts w:hint="eastAsia" w:ascii="仿宋_GB2312" w:hAnsi="华文仿宋" w:eastAsia="仿宋_GB2312" w:cs="Arial"/>
          <w:bCs/>
          <w:color w:val="auto"/>
          <w:sz w:val="32"/>
          <w:szCs w:val="32"/>
        </w:rPr>
        <w:t>分）：系统功能可视化设计及效果、各系统功能应用与对接程度、功能设计科学性等方面综合评定良好的；</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三档（</w:t>
      </w:r>
      <w:r>
        <w:rPr>
          <w:rFonts w:hint="eastAsia" w:ascii="仿宋_GB2312" w:hAnsi="华文仿宋" w:eastAsia="仿宋_GB2312" w:cs="Arial"/>
          <w:bCs/>
          <w:color w:val="auto"/>
          <w:sz w:val="32"/>
          <w:szCs w:val="32"/>
          <w:lang w:val="en-US" w:eastAsia="zh-CN"/>
        </w:rPr>
        <w:t>12</w:t>
      </w:r>
      <w:r>
        <w:rPr>
          <w:rFonts w:hint="eastAsia" w:ascii="仿宋_GB2312" w:hAnsi="华文仿宋" w:eastAsia="仿宋_GB2312" w:cs="Arial"/>
          <w:bCs/>
          <w:color w:val="auto"/>
          <w:sz w:val="32"/>
          <w:szCs w:val="32"/>
        </w:rPr>
        <w:t>分）系统功能可视化设计及效果、各系统功能应用与对接程度、功能设计科学性等方面综合评定优秀的；</w:t>
      </w:r>
    </w:p>
    <w:p>
      <w:pPr>
        <w:pStyle w:val="18"/>
        <w:ind w:firstLine="422" w:firstLineChars="200"/>
        <w:rPr>
          <w:rFonts w:ascii="仿宋_GB2312" w:hAnsi="华文仿宋" w:eastAsia="仿宋_GB2312" w:cs="Arial"/>
          <w:b/>
          <w:bCs/>
          <w:color w:val="auto"/>
          <w:sz w:val="21"/>
          <w:szCs w:val="21"/>
        </w:rPr>
      </w:pPr>
      <w:r>
        <w:rPr>
          <w:rFonts w:hint="eastAsia" w:ascii="仿宋_GB2312" w:hAnsi="华文仿宋" w:eastAsia="仿宋_GB2312" w:cs="Arial"/>
          <w:b/>
          <w:bCs/>
          <w:color w:val="auto"/>
          <w:sz w:val="21"/>
          <w:szCs w:val="21"/>
        </w:rPr>
        <w:t>注：1.供应商可通过所提供软件产品的原型系统或已实施完成的同类医院</w:t>
      </w:r>
      <w:r>
        <w:rPr>
          <w:rFonts w:hint="eastAsia" w:ascii="仿宋_GB2312" w:hAnsi="华文仿宋" w:eastAsia="仿宋_GB2312" w:cs="Arial"/>
          <w:b/>
          <w:bCs/>
          <w:color w:val="auto"/>
          <w:sz w:val="21"/>
          <w:szCs w:val="21"/>
          <w:lang w:val="en-US" w:eastAsia="zh-CN"/>
        </w:rPr>
        <w:t>HRP</w:t>
      </w:r>
      <w:r>
        <w:rPr>
          <w:rFonts w:hint="eastAsia" w:ascii="仿宋_GB2312" w:hAnsi="华文仿宋" w:eastAsia="仿宋_GB2312" w:cs="Arial"/>
          <w:b/>
          <w:bCs/>
          <w:color w:val="auto"/>
          <w:sz w:val="21"/>
          <w:szCs w:val="21"/>
        </w:rPr>
        <w:t>系统软件产品进行演示，</w:t>
      </w:r>
      <w:r>
        <w:rPr>
          <w:rFonts w:hint="eastAsia" w:ascii="仿宋_GB2312" w:hAnsi="华文仿宋" w:eastAsia="仿宋_GB2312" w:cs="Arial"/>
          <w:b/>
          <w:bCs/>
          <w:color w:val="FF0000"/>
          <w:sz w:val="21"/>
          <w:szCs w:val="21"/>
        </w:rPr>
        <w:t>具体演示时间以医院通知为准</w:t>
      </w:r>
      <w:r>
        <w:rPr>
          <w:rFonts w:hint="eastAsia" w:ascii="仿宋_GB2312" w:hAnsi="华文仿宋" w:eastAsia="仿宋_GB2312" w:cs="Arial"/>
          <w:b/>
          <w:bCs/>
          <w:color w:val="auto"/>
          <w:sz w:val="21"/>
          <w:szCs w:val="21"/>
        </w:rPr>
        <w:t>，供应商自行准备演示相关设备，演示现场仅提供电源。2.供应商未进行功能演示的，或者相应项功能演示未完成的，或所提供的演示为视频录像文件、PPT等非现场实时系统功能操作演示的，均相应不予认可，“系统功能演示分”记</w:t>
      </w:r>
      <w:r>
        <w:rPr>
          <w:rFonts w:ascii="仿宋_GB2312" w:hAnsi="华文仿宋" w:eastAsia="仿宋_GB2312" w:cs="Arial"/>
          <w:b/>
          <w:bCs/>
          <w:color w:val="auto"/>
          <w:sz w:val="21"/>
          <w:szCs w:val="21"/>
        </w:rPr>
        <w:t>0</w:t>
      </w:r>
      <w:r>
        <w:rPr>
          <w:rFonts w:hint="eastAsia" w:ascii="仿宋_GB2312" w:hAnsi="华文仿宋" w:eastAsia="仿宋_GB2312" w:cs="Arial"/>
          <w:b/>
          <w:bCs/>
          <w:color w:val="auto"/>
          <w:sz w:val="21"/>
          <w:szCs w:val="21"/>
        </w:rPr>
        <w:t>分。</w:t>
      </w:r>
    </w:p>
    <w:p>
      <w:pPr>
        <w:pStyle w:val="18"/>
        <w:rPr>
          <w:rFonts w:ascii="仿宋_GB2312" w:hAnsi="华文仿宋" w:eastAsia="仿宋_GB2312" w:cs="Arial"/>
          <w:b/>
          <w:bCs/>
          <w:color w:val="auto"/>
          <w:sz w:val="32"/>
          <w:szCs w:val="32"/>
        </w:rPr>
      </w:pPr>
      <w:r>
        <w:rPr>
          <w:rFonts w:hint="eastAsia" w:ascii="仿宋_GB2312" w:hAnsi="华文仿宋" w:eastAsia="仿宋_GB2312" w:cs="Arial"/>
          <w:b/>
          <w:bCs/>
          <w:color w:val="auto"/>
          <w:sz w:val="32"/>
          <w:szCs w:val="32"/>
        </w:rPr>
        <w:t>3</w:t>
      </w:r>
      <w:r>
        <w:rPr>
          <w:rFonts w:ascii="仿宋_GB2312" w:hAnsi="华文仿宋" w:eastAsia="仿宋_GB2312" w:cs="Arial"/>
          <w:b/>
          <w:bCs/>
          <w:color w:val="auto"/>
          <w:sz w:val="32"/>
          <w:szCs w:val="32"/>
        </w:rPr>
        <w:t>.</w:t>
      </w:r>
      <w:r>
        <w:rPr>
          <w:rFonts w:hint="eastAsia" w:ascii="仿宋_GB2312" w:hAnsi="华文仿宋" w:eastAsia="仿宋_GB2312" w:cs="Arial"/>
          <w:b/>
          <w:bCs/>
          <w:color w:val="auto"/>
          <w:sz w:val="32"/>
          <w:szCs w:val="32"/>
        </w:rPr>
        <w:t>售后服务分（满分</w:t>
      </w:r>
      <w:r>
        <w:rPr>
          <w:rFonts w:hint="eastAsia" w:ascii="仿宋_GB2312" w:hAnsi="华文仿宋" w:eastAsia="仿宋_GB2312" w:cs="Arial"/>
          <w:b/>
          <w:bCs/>
          <w:color w:val="auto"/>
          <w:sz w:val="32"/>
          <w:szCs w:val="32"/>
          <w:lang w:val="en-US" w:eastAsia="zh-CN"/>
        </w:rPr>
        <w:t>9</w:t>
      </w:r>
      <w:r>
        <w:rPr>
          <w:rFonts w:hint="eastAsia" w:ascii="仿宋_GB2312" w:hAnsi="华文仿宋" w:eastAsia="仿宋_GB2312" w:cs="Arial"/>
          <w:b/>
          <w:bCs/>
          <w:color w:val="auto"/>
          <w:sz w:val="32"/>
          <w:szCs w:val="32"/>
        </w:rPr>
        <w:t>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（1）售后服务保障能力分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①供应商在本项目所在地具有售后服务保障能力（提供相应有效证明材料，可以是供应商在</w:t>
      </w:r>
      <w:r>
        <w:rPr>
          <w:rFonts w:hint="eastAsia" w:ascii="仿宋_GB2312" w:hAnsi="华文仿宋" w:eastAsia="仿宋_GB2312" w:cs="Arial"/>
          <w:bCs/>
          <w:color w:val="auto"/>
          <w:sz w:val="32"/>
          <w:szCs w:val="32"/>
          <w:lang w:eastAsia="zh-CN"/>
        </w:rPr>
        <w:t>广西</w:t>
      </w:r>
      <w:r>
        <w:rPr>
          <w:rFonts w:hint="eastAsia" w:ascii="仿宋_GB2312" w:hAnsi="华文仿宋" w:eastAsia="仿宋_GB2312" w:cs="Arial"/>
          <w:bCs/>
          <w:color w:val="auto"/>
          <w:sz w:val="32"/>
          <w:szCs w:val="32"/>
        </w:rPr>
        <w:t>设有固定经营场所的相关证明材料】，得2分。</w:t>
      </w:r>
    </w:p>
    <w:p>
      <w:pPr>
        <w:pStyle w:val="18"/>
        <w:ind w:firstLine="640" w:firstLineChars="200"/>
        <w:rPr>
          <w:rFonts w:hint="eastAsia"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②供应商针对本项目配备有日常维护技术人员的（投标文件中提供日常维护技术人员一览表及供应商为技术人员交纳的社保证明复印件），每配备1名技术人员得1分，最多得4分。</w:t>
      </w:r>
    </w:p>
    <w:p>
      <w:pPr>
        <w:pStyle w:val="18"/>
        <w:ind w:firstLine="640" w:firstLineChars="200"/>
        <w:rPr>
          <w:rFonts w:hint="eastAsia" w:ascii="仿宋_GB2312" w:hAnsi="华文仿宋" w:eastAsia="仿宋_GB2312" w:cs="Arial"/>
          <w:bCs/>
          <w:color w:val="auto"/>
          <w:sz w:val="32"/>
          <w:szCs w:val="32"/>
          <w:lang w:val="en-US" w:eastAsia="zh-CN"/>
        </w:rPr>
      </w:pPr>
      <w:r>
        <w:rPr>
          <w:rFonts w:hint="default" w:ascii="仿宋_GB2312" w:hAnsi="华文仿宋" w:eastAsia="仿宋_GB2312" w:cs="Arial"/>
          <w:bCs/>
          <w:color w:val="auto"/>
          <w:sz w:val="32"/>
          <w:szCs w:val="32"/>
        </w:rPr>
        <w:t>③</w:t>
      </w:r>
      <w:r>
        <w:rPr>
          <w:rFonts w:hint="eastAsia" w:ascii="仿宋_GB2312" w:hAnsi="华文仿宋" w:eastAsia="仿宋_GB2312" w:cs="Arial"/>
          <w:bCs/>
          <w:color w:val="auto"/>
          <w:sz w:val="32"/>
          <w:szCs w:val="32"/>
          <w:lang w:val="en-US" w:eastAsia="zh-CN"/>
        </w:rPr>
        <w:t>HRP软件随使用方管理流程变化，软件自身应具备较强调整能力，调整速度以及后期开发空间。因此，本项目在维护期内（含免费维护期及有偿维护期）必须满足客户化开发修改需求，针对本项目提供验收后1年工程师驻场得3分，验收后半年工程师驻场2分，验收后三个月工程师驻场1分。</w:t>
      </w:r>
    </w:p>
    <w:p>
      <w:pPr>
        <w:pStyle w:val="18"/>
        <w:rPr>
          <w:rFonts w:ascii="仿宋_GB2312" w:hAnsi="华文仿宋" w:eastAsia="仿宋_GB2312" w:cs="Arial"/>
          <w:b/>
          <w:bCs/>
          <w:color w:val="auto"/>
          <w:sz w:val="32"/>
          <w:szCs w:val="32"/>
        </w:rPr>
      </w:pPr>
      <w:r>
        <w:rPr>
          <w:rFonts w:hint="eastAsia" w:ascii="仿宋_GB2312" w:hAnsi="华文仿宋" w:eastAsia="仿宋_GB2312" w:cs="Arial"/>
          <w:b/>
          <w:bCs/>
          <w:color w:val="auto"/>
          <w:sz w:val="32"/>
          <w:szCs w:val="32"/>
        </w:rPr>
        <w:t>4.信誉业绩分（满分</w:t>
      </w:r>
      <w:r>
        <w:rPr>
          <w:rFonts w:hint="eastAsia" w:ascii="仿宋_GB2312" w:hAnsi="华文仿宋" w:eastAsia="仿宋_GB2312" w:cs="Arial"/>
          <w:b/>
          <w:bCs/>
          <w:color w:val="auto"/>
          <w:sz w:val="32"/>
          <w:szCs w:val="32"/>
          <w:lang w:val="en-US" w:eastAsia="zh-CN"/>
        </w:rPr>
        <w:t>18</w:t>
      </w:r>
      <w:r>
        <w:rPr>
          <w:rFonts w:hint="eastAsia" w:ascii="仿宋_GB2312" w:hAnsi="华文仿宋" w:eastAsia="仿宋_GB2312" w:cs="Arial"/>
          <w:b/>
          <w:bCs/>
          <w:color w:val="auto"/>
          <w:sz w:val="32"/>
          <w:szCs w:val="32"/>
        </w:rPr>
        <w:t>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（1）供应商通过ISO9001（质量管理体系认证）、</w:t>
      </w:r>
      <w:r>
        <w:rPr>
          <w:rFonts w:ascii="仿宋_GB2312" w:hAnsi="华文仿宋" w:eastAsia="仿宋_GB2312" w:cs="Arial"/>
          <w:bCs/>
          <w:color w:val="auto"/>
          <w:sz w:val="32"/>
          <w:szCs w:val="32"/>
        </w:rPr>
        <w:t>ISO20000</w:t>
      </w:r>
      <w:r>
        <w:rPr>
          <w:rFonts w:hint="eastAsia" w:ascii="仿宋_GB2312" w:hAnsi="华文仿宋" w:eastAsia="仿宋_GB2312" w:cs="Arial"/>
          <w:bCs/>
          <w:color w:val="auto"/>
          <w:sz w:val="32"/>
          <w:szCs w:val="32"/>
        </w:rPr>
        <w:t>（信息技术服务管理体系认证）且有效的（需提供相关有效认证证书复印件），每有1项得1分，最多得2分。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（2）供应商 2019 年以来具有承担与本次采购内容类似的项目业绩[以签订的项目合同复印件为准（能清晰反映项目的名称、种类、金额），否则将不予评审]，每有1项业绩得</w:t>
      </w:r>
      <w:r>
        <w:rPr>
          <w:rFonts w:hint="eastAsia" w:ascii="仿宋_GB2312" w:hAnsi="华文仿宋" w:eastAsia="仿宋_GB2312" w:cs="Arial"/>
          <w:bCs/>
          <w:color w:val="auto"/>
          <w:sz w:val="32"/>
          <w:szCs w:val="32"/>
          <w:lang w:val="en-US" w:eastAsia="zh-CN"/>
        </w:rPr>
        <w:t>2</w:t>
      </w:r>
      <w:r>
        <w:rPr>
          <w:rFonts w:hint="eastAsia" w:ascii="仿宋_GB2312" w:hAnsi="华文仿宋" w:eastAsia="仿宋_GB2312" w:cs="Arial"/>
          <w:bCs/>
          <w:color w:val="auto"/>
          <w:sz w:val="32"/>
          <w:szCs w:val="32"/>
        </w:rPr>
        <w:t>分，最多得</w:t>
      </w:r>
      <w:r>
        <w:rPr>
          <w:rFonts w:hint="eastAsia" w:ascii="仿宋_GB2312" w:hAnsi="华文仿宋" w:eastAsia="仿宋_GB2312" w:cs="Arial"/>
          <w:bCs/>
          <w:color w:val="auto"/>
          <w:sz w:val="32"/>
          <w:szCs w:val="32"/>
          <w:lang w:val="en-US" w:eastAsia="zh-CN"/>
        </w:rPr>
        <w:t>16</w:t>
      </w:r>
      <w:r>
        <w:rPr>
          <w:rFonts w:hint="eastAsia" w:ascii="仿宋_GB2312" w:hAnsi="华文仿宋" w:eastAsia="仿宋_GB2312" w:cs="Arial"/>
          <w:bCs/>
          <w:color w:val="auto"/>
          <w:sz w:val="32"/>
          <w:szCs w:val="32"/>
        </w:rPr>
        <w:t>分。</w:t>
      </w:r>
    </w:p>
    <w:p>
      <w:pPr>
        <w:pStyle w:val="18"/>
        <w:ind w:firstLine="643" w:firstLineChars="200"/>
        <w:rPr>
          <w:rFonts w:ascii="仿宋_GB2312" w:hAnsi="华文仿宋" w:eastAsia="仿宋_GB2312" w:cs="Arial"/>
          <w:b/>
          <w:bCs/>
          <w:color w:val="auto"/>
          <w:sz w:val="32"/>
          <w:szCs w:val="32"/>
        </w:rPr>
      </w:pPr>
      <w:r>
        <w:rPr>
          <w:rFonts w:hint="eastAsia" w:ascii="仿宋_GB2312" w:hAnsi="华文仿宋" w:eastAsia="仿宋_GB2312" w:cs="Arial"/>
          <w:b/>
          <w:bCs/>
          <w:color w:val="auto"/>
          <w:sz w:val="32"/>
          <w:szCs w:val="32"/>
        </w:rPr>
        <w:t>总得分5=1+2+3+4（满分100分）</w:t>
      </w:r>
    </w:p>
    <w:sectPr>
      <w:pgSz w:w="11906" w:h="16838"/>
      <w:pgMar w:top="1440" w:right="1588" w:bottom="1440" w:left="1588"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435D17"/>
    <w:multiLevelType w:val="multilevel"/>
    <w:tmpl w:val="8E435D17"/>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FiZGU5MzFmMWM2ZmEyYmVlYjhkODAzYTJjYzY3YjcifQ=="/>
  </w:docVars>
  <w:rsids>
    <w:rsidRoot w:val="00B55695"/>
    <w:rsid w:val="0001786F"/>
    <w:rsid w:val="00020B3A"/>
    <w:rsid w:val="000229B9"/>
    <w:rsid w:val="00026096"/>
    <w:rsid w:val="00026F0B"/>
    <w:rsid w:val="00031057"/>
    <w:rsid w:val="00034F75"/>
    <w:rsid w:val="00042E7C"/>
    <w:rsid w:val="00045644"/>
    <w:rsid w:val="00062702"/>
    <w:rsid w:val="00063058"/>
    <w:rsid w:val="000633E3"/>
    <w:rsid w:val="000B4C76"/>
    <w:rsid w:val="000D39FE"/>
    <w:rsid w:val="000F0ED4"/>
    <w:rsid w:val="00117B7E"/>
    <w:rsid w:val="0013190E"/>
    <w:rsid w:val="0014121E"/>
    <w:rsid w:val="00156AF9"/>
    <w:rsid w:val="00190505"/>
    <w:rsid w:val="00193592"/>
    <w:rsid w:val="001952A5"/>
    <w:rsid w:val="001C1BF1"/>
    <w:rsid w:val="001E32BB"/>
    <w:rsid w:val="001E6D90"/>
    <w:rsid w:val="0020521C"/>
    <w:rsid w:val="002052C4"/>
    <w:rsid w:val="00207E0C"/>
    <w:rsid w:val="0022570D"/>
    <w:rsid w:val="002320DB"/>
    <w:rsid w:val="00246965"/>
    <w:rsid w:val="002B0DBA"/>
    <w:rsid w:val="002D4649"/>
    <w:rsid w:val="00314BF6"/>
    <w:rsid w:val="00315DD5"/>
    <w:rsid w:val="00321525"/>
    <w:rsid w:val="00335633"/>
    <w:rsid w:val="0034724C"/>
    <w:rsid w:val="00355624"/>
    <w:rsid w:val="00356D17"/>
    <w:rsid w:val="003A63C2"/>
    <w:rsid w:val="003D6D8C"/>
    <w:rsid w:val="003D7AF2"/>
    <w:rsid w:val="004002CC"/>
    <w:rsid w:val="0040413D"/>
    <w:rsid w:val="00405A05"/>
    <w:rsid w:val="004B0053"/>
    <w:rsid w:val="004B1433"/>
    <w:rsid w:val="004B5CE6"/>
    <w:rsid w:val="004D2F31"/>
    <w:rsid w:val="004D61A6"/>
    <w:rsid w:val="004E1DBB"/>
    <w:rsid w:val="004E5522"/>
    <w:rsid w:val="00530C48"/>
    <w:rsid w:val="00563A11"/>
    <w:rsid w:val="00580ED4"/>
    <w:rsid w:val="005839FE"/>
    <w:rsid w:val="00596EAB"/>
    <w:rsid w:val="005A4569"/>
    <w:rsid w:val="005E544B"/>
    <w:rsid w:val="00602620"/>
    <w:rsid w:val="0060262F"/>
    <w:rsid w:val="00622567"/>
    <w:rsid w:val="00650D91"/>
    <w:rsid w:val="00667DFE"/>
    <w:rsid w:val="00683EBF"/>
    <w:rsid w:val="00693E96"/>
    <w:rsid w:val="006B484D"/>
    <w:rsid w:val="006B48A1"/>
    <w:rsid w:val="006C4886"/>
    <w:rsid w:val="006C571A"/>
    <w:rsid w:val="006D67F4"/>
    <w:rsid w:val="006E05D8"/>
    <w:rsid w:val="006F5ABB"/>
    <w:rsid w:val="00703272"/>
    <w:rsid w:val="00711B4E"/>
    <w:rsid w:val="00720566"/>
    <w:rsid w:val="00731CA8"/>
    <w:rsid w:val="007342DE"/>
    <w:rsid w:val="00747950"/>
    <w:rsid w:val="00771740"/>
    <w:rsid w:val="0079456A"/>
    <w:rsid w:val="007A24EE"/>
    <w:rsid w:val="007B5E87"/>
    <w:rsid w:val="007D0B8A"/>
    <w:rsid w:val="007E2CC6"/>
    <w:rsid w:val="007E2DAA"/>
    <w:rsid w:val="0081768B"/>
    <w:rsid w:val="00823B04"/>
    <w:rsid w:val="008365C0"/>
    <w:rsid w:val="0085760B"/>
    <w:rsid w:val="00867ADE"/>
    <w:rsid w:val="00870D4D"/>
    <w:rsid w:val="00872F2D"/>
    <w:rsid w:val="00893AE9"/>
    <w:rsid w:val="008C436D"/>
    <w:rsid w:val="008C4737"/>
    <w:rsid w:val="008D6CCC"/>
    <w:rsid w:val="008D7F57"/>
    <w:rsid w:val="008E2F91"/>
    <w:rsid w:val="008E3694"/>
    <w:rsid w:val="0090068F"/>
    <w:rsid w:val="00904FC2"/>
    <w:rsid w:val="00914DD2"/>
    <w:rsid w:val="009175D8"/>
    <w:rsid w:val="00930238"/>
    <w:rsid w:val="009329F0"/>
    <w:rsid w:val="009A2956"/>
    <w:rsid w:val="009A4E64"/>
    <w:rsid w:val="009A5F0C"/>
    <w:rsid w:val="009A692E"/>
    <w:rsid w:val="009B5E59"/>
    <w:rsid w:val="009C1310"/>
    <w:rsid w:val="00A029A7"/>
    <w:rsid w:val="00A06C38"/>
    <w:rsid w:val="00A17247"/>
    <w:rsid w:val="00A244CF"/>
    <w:rsid w:val="00A35115"/>
    <w:rsid w:val="00A4505A"/>
    <w:rsid w:val="00A54BB5"/>
    <w:rsid w:val="00A571AF"/>
    <w:rsid w:val="00A57598"/>
    <w:rsid w:val="00A644D9"/>
    <w:rsid w:val="00A75206"/>
    <w:rsid w:val="00A86729"/>
    <w:rsid w:val="00AD2DD2"/>
    <w:rsid w:val="00AF78AF"/>
    <w:rsid w:val="00B032FE"/>
    <w:rsid w:val="00B17C6B"/>
    <w:rsid w:val="00B24F0C"/>
    <w:rsid w:val="00B55695"/>
    <w:rsid w:val="00B7088A"/>
    <w:rsid w:val="00B8176F"/>
    <w:rsid w:val="00B843C7"/>
    <w:rsid w:val="00B90AB4"/>
    <w:rsid w:val="00BA5410"/>
    <w:rsid w:val="00BD1617"/>
    <w:rsid w:val="00C01EEC"/>
    <w:rsid w:val="00C25AF9"/>
    <w:rsid w:val="00C30B85"/>
    <w:rsid w:val="00C37648"/>
    <w:rsid w:val="00C80E54"/>
    <w:rsid w:val="00C8143A"/>
    <w:rsid w:val="00C97CEF"/>
    <w:rsid w:val="00CE2CAE"/>
    <w:rsid w:val="00CF3924"/>
    <w:rsid w:val="00D03F1D"/>
    <w:rsid w:val="00D11A17"/>
    <w:rsid w:val="00D2320E"/>
    <w:rsid w:val="00D356DC"/>
    <w:rsid w:val="00D44255"/>
    <w:rsid w:val="00D4518E"/>
    <w:rsid w:val="00D57BCD"/>
    <w:rsid w:val="00D60594"/>
    <w:rsid w:val="00D624A2"/>
    <w:rsid w:val="00D66E0B"/>
    <w:rsid w:val="00D7350E"/>
    <w:rsid w:val="00D7386A"/>
    <w:rsid w:val="00DB25AF"/>
    <w:rsid w:val="00DC755B"/>
    <w:rsid w:val="00DE4F2D"/>
    <w:rsid w:val="00E377D1"/>
    <w:rsid w:val="00E448CD"/>
    <w:rsid w:val="00E57673"/>
    <w:rsid w:val="00E62085"/>
    <w:rsid w:val="00E63793"/>
    <w:rsid w:val="00E70F34"/>
    <w:rsid w:val="00EA71B8"/>
    <w:rsid w:val="00EC18DE"/>
    <w:rsid w:val="00EC7C78"/>
    <w:rsid w:val="00EE0B03"/>
    <w:rsid w:val="00EE192B"/>
    <w:rsid w:val="00EF09C0"/>
    <w:rsid w:val="00EF4579"/>
    <w:rsid w:val="00EF4CDA"/>
    <w:rsid w:val="00F02ACC"/>
    <w:rsid w:val="00F15F11"/>
    <w:rsid w:val="00F20D3D"/>
    <w:rsid w:val="00F268C7"/>
    <w:rsid w:val="00F461DE"/>
    <w:rsid w:val="00F52980"/>
    <w:rsid w:val="00F56545"/>
    <w:rsid w:val="00F703BB"/>
    <w:rsid w:val="00F712CB"/>
    <w:rsid w:val="00F8017B"/>
    <w:rsid w:val="00F82FB5"/>
    <w:rsid w:val="00FB612E"/>
    <w:rsid w:val="00FE4A75"/>
    <w:rsid w:val="016A6A7B"/>
    <w:rsid w:val="01D77D3B"/>
    <w:rsid w:val="02AA0975"/>
    <w:rsid w:val="0B5B1136"/>
    <w:rsid w:val="11A56FEA"/>
    <w:rsid w:val="1CA733E2"/>
    <w:rsid w:val="1D7741FE"/>
    <w:rsid w:val="2193338F"/>
    <w:rsid w:val="22B0792E"/>
    <w:rsid w:val="23283CA2"/>
    <w:rsid w:val="241A0109"/>
    <w:rsid w:val="2B530791"/>
    <w:rsid w:val="2BEA07F4"/>
    <w:rsid w:val="2D1F49B1"/>
    <w:rsid w:val="2D86330F"/>
    <w:rsid w:val="2F4F4558"/>
    <w:rsid w:val="32A80F4E"/>
    <w:rsid w:val="3DEB4A98"/>
    <w:rsid w:val="3F7B0758"/>
    <w:rsid w:val="3F98315C"/>
    <w:rsid w:val="42B964DF"/>
    <w:rsid w:val="44ED2F7D"/>
    <w:rsid w:val="47766E8A"/>
    <w:rsid w:val="48D32BCE"/>
    <w:rsid w:val="49B53EC4"/>
    <w:rsid w:val="4A2C5EC6"/>
    <w:rsid w:val="4B572B5D"/>
    <w:rsid w:val="4FAD5157"/>
    <w:rsid w:val="51FE5218"/>
    <w:rsid w:val="53B62B65"/>
    <w:rsid w:val="568315AE"/>
    <w:rsid w:val="57201521"/>
    <w:rsid w:val="5FDE53D8"/>
    <w:rsid w:val="6C4556E2"/>
    <w:rsid w:val="6EC66E4A"/>
    <w:rsid w:val="6FA129D5"/>
    <w:rsid w:val="710238D5"/>
    <w:rsid w:val="71C50D18"/>
    <w:rsid w:val="74B80718"/>
    <w:rsid w:val="784929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wordWrap w:val="0"/>
      <w:topLinePunct/>
      <w:spacing w:line="360" w:lineRule="auto"/>
      <w:ind w:left="0" w:firstLine="0"/>
      <w:jc w:val="center"/>
      <w:outlineLvl w:val="0"/>
    </w:pPr>
    <w:rPr>
      <w:rFonts w:eastAsia="方正小标宋简体" w:asciiTheme="minorHAnsi" w:hAnsiTheme="minorHAnsi"/>
      <w:b/>
      <w:kern w:val="44"/>
      <w:sz w:val="28"/>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4"/>
    <w:basedOn w:val="1"/>
    <w:next w:val="1"/>
    <w:qFormat/>
    <w:uiPriority w:val="0"/>
    <w:pPr>
      <w:keepNext/>
      <w:spacing w:before="240" w:after="60"/>
      <w:outlineLvl w:val="3"/>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Normal Indent"/>
    <w:basedOn w:val="1"/>
    <w:qFormat/>
    <w:uiPriority w:val="0"/>
    <w:pPr>
      <w:ind w:firstLine="420"/>
    </w:pPr>
    <w:rPr>
      <w:szCs w:val="20"/>
    </w:rPr>
  </w:style>
  <w:style w:type="paragraph" w:styleId="7">
    <w:name w:val="annotation text"/>
    <w:basedOn w:val="1"/>
    <w:link w:val="23"/>
    <w:qFormat/>
    <w:uiPriority w:val="0"/>
    <w:pPr>
      <w:jc w:val="left"/>
    </w:pPr>
  </w:style>
  <w:style w:type="paragraph" w:styleId="8">
    <w:name w:val="Body Text"/>
    <w:basedOn w:val="1"/>
    <w:unhideWhenUsed/>
    <w:qFormat/>
    <w:uiPriority w:val="99"/>
    <w:pPr>
      <w:spacing w:after="120"/>
    </w:pPr>
  </w:style>
  <w:style w:type="paragraph" w:styleId="9">
    <w:name w:val="Plain Text"/>
    <w:basedOn w:val="1"/>
    <w:next w:val="4"/>
    <w:link w:val="25"/>
    <w:qFormat/>
    <w:uiPriority w:val="99"/>
    <w:rPr>
      <w:rFonts w:ascii="宋体" w:hAnsi="Courier New" w:cs="Courier New"/>
      <w:szCs w:val="21"/>
    </w:rPr>
  </w:style>
  <w:style w:type="paragraph" w:styleId="10">
    <w:name w:val="Balloon Text"/>
    <w:basedOn w:val="1"/>
    <w:link w:val="22"/>
    <w:qFormat/>
    <w:uiPriority w:val="0"/>
    <w:rPr>
      <w:sz w:val="18"/>
      <w:szCs w:val="18"/>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annotation subject"/>
    <w:basedOn w:val="7"/>
    <w:next w:val="7"/>
    <w:link w:val="24"/>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qFormat/>
    <w:uiPriority w:val="99"/>
    <w:rPr>
      <w:sz w:val="21"/>
      <w:szCs w:val="21"/>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List Paragraph"/>
    <w:basedOn w:val="1"/>
    <w:link w:val="27"/>
    <w:qFormat/>
    <w:uiPriority w:val="34"/>
    <w:pPr>
      <w:ind w:firstLine="420" w:firstLineChars="200"/>
    </w:pPr>
    <w:rPr>
      <w:szCs w:val="22"/>
    </w:rPr>
  </w:style>
  <w:style w:type="character" w:customStyle="1" w:styleId="20">
    <w:name w:val="页眉 Char"/>
    <w:basedOn w:val="16"/>
    <w:link w:val="12"/>
    <w:qFormat/>
    <w:uiPriority w:val="0"/>
    <w:rPr>
      <w:rFonts w:ascii="Calibri" w:hAnsi="Calibri" w:eastAsia="宋体" w:cs="Times New Roman"/>
      <w:kern w:val="2"/>
      <w:sz w:val="18"/>
      <w:szCs w:val="18"/>
    </w:rPr>
  </w:style>
  <w:style w:type="character" w:customStyle="1" w:styleId="21">
    <w:name w:val="页脚 Char"/>
    <w:basedOn w:val="16"/>
    <w:link w:val="11"/>
    <w:qFormat/>
    <w:uiPriority w:val="0"/>
    <w:rPr>
      <w:rFonts w:ascii="Calibri" w:hAnsi="Calibri" w:eastAsia="宋体" w:cs="Times New Roman"/>
      <w:kern w:val="2"/>
      <w:sz w:val="18"/>
      <w:szCs w:val="18"/>
    </w:rPr>
  </w:style>
  <w:style w:type="character" w:customStyle="1" w:styleId="22">
    <w:name w:val="批注框文本 Char"/>
    <w:basedOn w:val="16"/>
    <w:link w:val="10"/>
    <w:qFormat/>
    <w:uiPriority w:val="0"/>
    <w:rPr>
      <w:rFonts w:ascii="Calibri" w:hAnsi="Calibri"/>
      <w:kern w:val="2"/>
      <w:sz w:val="18"/>
      <w:szCs w:val="18"/>
    </w:rPr>
  </w:style>
  <w:style w:type="character" w:customStyle="1" w:styleId="23">
    <w:name w:val="批注文字 Char"/>
    <w:basedOn w:val="16"/>
    <w:link w:val="7"/>
    <w:qFormat/>
    <w:uiPriority w:val="0"/>
    <w:rPr>
      <w:rFonts w:ascii="Calibri" w:hAnsi="Calibri"/>
      <w:kern w:val="2"/>
      <w:sz w:val="21"/>
      <w:szCs w:val="24"/>
    </w:rPr>
  </w:style>
  <w:style w:type="character" w:customStyle="1" w:styleId="24">
    <w:name w:val="批注主题 Char"/>
    <w:basedOn w:val="23"/>
    <w:link w:val="13"/>
    <w:qFormat/>
    <w:uiPriority w:val="0"/>
  </w:style>
  <w:style w:type="character" w:customStyle="1" w:styleId="25">
    <w:name w:val="纯文本 Char"/>
    <w:basedOn w:val="16"/>
    <w:link w:val="9"/>
    <w:qFormat/>
    <w:locked/>
    <w:uiPriority w:val="99"/>
    <w:rPr>
      <w:rFonts w:ascii="宋体" w:hAnsi="Courier New" w:cs="Courier New"/>
      <w:kern w:val="2"/>
      <w:sz w:val="21"/>
      <w:szCs w:val="21"/>
    </w:rPr>
  </w:style>
  <w:style w:type="paragraph" w:styleId="26">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27">
    <w:name w:val="列出段落 Char"/>
    <w:link w:val="19"/>
    <w:qFormat/>
    <w:locked/>
    <w:uiPriority w:val="34"/>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82B96B-4D50-4149-82B2-6802312DD7A0}">
  <ds:schemaRefs/>
</ds:datastoreItem>
</file>

<file path=docProps/app.xml><?xml version="1.0" encoding="utf-8"?>
<Properties xmlns="http://schemas.openxmlformats.org/officeDocument/2006/extended-properties" xmlns:vt="http://schemas.openxmlformats.org/officeDocument/2006/docPropsVTypes">
  <Template>Normal</Template>
  <Company>YZL</Company>
  <Pages>4</Pages>
  <Words>1514</Words>
  <Characters>1604</Characters>
  <Lines>13</Lines>
  <Paragraphs>3</Paragraphs>
  <TotalTime>19</TotalTime>
  <ScaleCrop>false</ScaleCrop>
  <LinksUpToDate>false</LinksUpToDate>
  <CharactersWithSpaces>1754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2021-08-18T10:04:00Z</dcterms:created>
  <dc:creator>Administrator</dc:creator>
  <cp:lastModifiedBy>abc</cp:lastModifiedBy>
  <dcterms:modified xsi:type="dcterms:W3CDTF">2022-07-08T09:23:24Z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DD87C8B3EA0E44CEAE93B85B1CB9658F</vt:lpwstr>
  </property>
</Properties>
</file>