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水刀清创仪（超声波清创机）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设备编号：NYZBB-SBK-2022083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一、主机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1、具有超声波清创功能，适用于治疗各类外伤、手术切口、污染或者感染伤口/创面以及难愈合伤口、软组织创伤、开放性骨折清创等；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2、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具有蠕动泵废液回收功能:一次性管路,无污染.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3、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具有蠕动泵脉冲冲洗功能:冲洗管路一次性,无污染,成本低.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、功率有高、低两档选择；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、具有定时装置，其控制时间误差为±2s；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二、治疗手柄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1、可重复使用，寿命长（保质期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不少于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一年）；采用高温高压、等离子或熏蒸方式灭菌消毒</w:t>
      </w:r>
    </w:p>
    <w:p>
      <w:pP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3、治疗手柄有多种可选，配置有四种不同形状的整只手柄，适合各类不同创面治疗。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设备名称：手术分娩台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设备编号：NYZBB-SBK-2022089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1台面尺寸：长度 2000mm ±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10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mm宽度 500mm±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10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2台面高度：最低 750mm±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15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mm 最高 990mm±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15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3台面左右倾角度：左倾≥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0°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右倾≥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4台面前后倾角度： 前倾≥2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°    后倾≥15°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5头板折转角度：上折≥30°    下折≥90°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line="400" w:lineRule="exact"/>
        <w:jc w:val="both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6背板折转角度：上折≥75°    下折≥15°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7腰桥升降升降行程：≥150mm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8. 腿板下折角度：≥90°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9腿板外摆角度：≥90°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t>10搁手板摆动角度: ≥90°</w:t>
      </w:r>
    </w:p>
    <w:p>
      <w:pPr>
        <w:rPr>
          <w:rFonts w:hint="eastAsia" w:ascii="宋体" w:hAnsi="宋体"/>
          <w:kern w:val="0"/>
          <w:sz w:val="24"/>
          <w:szCs w:val="24"/>
        </w:rPr>
      </w:pPr>
    </w:p>
    <w:p>
      <w:pPr>
        <w:rPr>
          <w:rFonts w:hint="eastAsia" w:ascii="宋体" w:hAnsi="宋体"/>
          <w:kern w:val="0"/>
          <w:sz w:val="24"/>
          <w:szCs w:val="24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设备名称：俯卧盆腔固定架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设备编号：NYZBB-SBK-2022090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Style w:val="11"/>
          <w:sz w:val="24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外形尺寸：长≥</w:t>
      </w:r>
      <w:r>
        <w:rPr>
          <w:rFonts w:ascii="宋体" w:hAnsi="宋体" w:eastAsia="宋体"/>
          <w:color w:val="000000"/>
          <w:sz w:val="24"/>
          <w:szCs w:val="24"/>
        </w:rPr>
        <w:t>1200</w:t>
      </w:r>
      <w:r>
        <w:rPr>
          <w:rFonts w:hint="eastAsia" w:ascii="宋体" w:hAnsi="宋体" w:eastAsia="宋体"/>
          <w:color w:val="000000"/>
          <w:sz w:val="24"/>
          <w:szCs w:val="24"/>
        </w:rPr>
        <w:t>宽≥</w:t>
      </w:r>
      <w:r>
        <w:rPr>
          <w:rFonts w:ascii="宋体" w:hAnsi="宋体" w:eastAsia="宋体"/>
          <w:color w:val="000000"/>
          <w:sz w:val="24"/>
          <w:szCs w:val="24"/>
        </w:rPr>
        <w:t>460</w:t>
      </w:r>
      <w:r>
        <w:rPr>
          <w:rFonts w:hint="eastAsia" w:ascii="宋体" w:hAnsi="宋体" w:eastAsia="宋体"/>
          <w:color w:val="000000"/>
          <w:sz w:val="24"/>
          <w:szCs w:val="24"/>
        </w:rPr>
        <w:t>厚≥</w:t>
      </w:r>
      <w:r>
        <w:rPr>
          <w:rFonts w:ascii="宋体" w:hAnsi="宋体" w:eastAsia="宋体"/>
          <w:color w:val="000000"/>
          <w:sz w:val="24"/>
          <w:szCs w:val="24"/>
        </w:rPr>
        <w:t>80mm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腹板底部具有两个适配器定位槽，可实现</w:t>
      </w:r>
      <w:r>
        <w:rPr>
          <w:rFonts w:ascii="宋体" w:hAnsi="宋体" w:eastAsia="宋体"/>
          <w:color w:val="000000"/>
          <w:sz w:val="24"/>
          <w:szCs w:val="24"/>
        </w:rPr>
        <w:t>CT</w:t>
      </w:r>
      <w:r>
        <w:rPr>
          <w:rFonts w:hint="eastAsia" w:ascii="宋体" w:hAnsi="宋体" w:eastAsia="宋体"/>
          <w:color w:val="000000"/>
          <w:sz w:val="24"/>
          <w:szCs w:val="24"/>
        </w:rPr>
        <w:t>、模拟机和加速器之间的快速转换，确保患者从模拟定位到治疗全过程的精确重复摆位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腹板两侧带有体膜定位用的卡扣，提高患者定位摆位的精度；腹板中间有分腿器，可有效提高卵巢和前列腺等患者的定位成功率。</w:t>
      </w:r>
    </w:p>
    <w:p>
      <w:pPr>
        <w:numPr>
          <w:ilvl w:val="0"/>
          <w:numId w:val="1"/>
        </w:numPr>
        <w:ind w:left="360" w:leftChars="0" w:hanging="360" w:firstLineChars="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Tahoma"/>
          <w:color w:val="000000"/>
          <w:kern w:val="2"/>
          <w:sz w:val="24"/>
          <w:szCs w:val="24"/>
          <w:lang w:val="en-US" w:eastAsia="zh-CN" w:bidi="ar-SA"/>
        </w:rPr>
        <w:t>腹板两侧有标尺，可以方便记录数据及摆正腹板位置。两侧还有四组定位孔，适用于不同身高的病人，达到理想的定位和治疗位置。</w:t>
      </w:r>
    </w:p>
    <w:p>
      <w:pPr>
        <w:pStyle w:val="2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设备名称：放疗多功能一体固定装置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91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Style w:val="11"/>
          <w:sz w:val="24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一体板：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规格：长≥1300宽≥600厚≥20 mm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射线穿透率：≥98%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固定装置设置：底板固定适配孔位置应在非照射区，确保射线照射区材质密度均匀，减少影像伪影和剂量偏差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乳腺托架：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仰卧角度可调，能调整患者仰卧姿态，减少肺部受照剂量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托架可调角度档位≥6档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配套乳腺定位膜尺寸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300mm x 600mm x 2.4 mm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可搭配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该</w:t>
      </w:r>
      <w:r>
        <w:rPr>
          <w:rFonts w:hint="eastAsia" w:ascii="宋体" w:hAnsi="宋体" w:eastAsia="宋体" w:cs="宋体"/>
          <w:sz w:val="24"/>
          <w:szCs w:val="24"/>
        </w:rPr>
        <w:t>科室现有Qfix翼型板使用</w:t>
      </w:r>
    </w:p>
    <w:p>
      <w:pPr>
        <w:pStyle w:val="2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设备名称：后装转移床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92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Style w:val="11"/>
          <w:sz w:val="24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一、后装转移床：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1、碳纤维治疗床 1套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（1）外形尺寸：长≥1100宽≥480厚≥20mm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（2）重复定位精度：≤0.5mm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（3）射线透过率：≥98%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（4）压力变形：≤2mm（均载135kg）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二、转运台车 1套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1.材质：铝合金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2.台车升降高度范围：710-960mm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3.承重：≤300kg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三、胶片分析软件 1套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1.支持剂量获取途径：胶片、EPID、电离室矩阵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2.日常验证及质控功能：剖面剂量、星状线测试、光射野一致性、平坦度、对称性</w:t>
      </w:r>
    </w:p>
    <w:p>
      <w:pPr>
        <w:pStyle w:val="2"/>
        <w:rPr>
          <w:rFonts w:hint="eastAsia" w:ascii="宋体" w:hAnsi="宋体" w:eastAsia="宋体"/>
          <w:sz w:val="24"/>
          <w:szCs w:val="24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汉仪仿宋S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017B4"/>
    <w:multiLevelType w:val="multilevel"/>
    <w:tmpl w:val="121017B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C07DBD"/>
    <w:rsid w:val="18FA6024"/>
    <w:rsid w:val="1CE85224"/>
    <w:rsid w:val="21DA3042"/>
    <w:rsid w:val="224950AE"/>
    <w:rsid w:val="26D8273E"/>
    <w:rsid w:val="2D257878"/>
    <w:rsid w:val="30082809"/>
    <w:rsid w:val="302A31AC"/>
    <w:rsid w:val="3D861AF0"/>
    <w:rsid w:val="44346735"/>
    <w:rsid w:val="474B073A"/>
    <w:rsid w:val="4A027E2A"/>
    <w:rsid w:val="4A302AFA"/>
    <w:rsid w:val="4BC250E2"/>
    <w:rsid w:val="4D8A1F33"/>
    <w:rsid w:val="51DB7902"/>
    <w:rsid w:val="51F30A22"/>
    <w:rsid w:val="5372623C"/>
    <w:rsid w:val="589B7282"/>
    <w:rsid w:val="5E1F0659"/>
    <w:rsid w:val="66AF5BE6"/>
    <w:rsid w:val="6B6508C9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9">
    <w:name w:val="apple-style-span"/>
    <w:basedOn w:val="7"/>
    <w:qFormat/>
    <w:uiPriority w:val="0"/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3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1242</Words>
  <Characters>1394</Characters>
  <Lines>10</Lines>
  <Paragraphs>2</Paragraphs>
  <TotalTime>8</TotalTime>
  <ScaleCrop>false</ScaleCrop>
  <LinksUpToDate>false</LinksUpToDate>
  <CharactersWithSpaces>1407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2022-07-13T04:24:02Z</cp:lastPrinted>
  <dcterms:modified xsi:type="dcterms:W3CDTF">2022-07-13T04:27:31Z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4AC06BCA9B924D0AA08A28B43A358F85</vt:lpwstr>
  </property>
</Properties>
</file>