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4" w:lineRule="auto"/>
        <w:ind w:firstLine="482" w:firstLineChars="200"/>
        <w:jc w:val="center"/>
        <w:rPr>
          <w:rFonts w:hint="eastAsia" w:eastAsia="宋体" w:cs="宋体"/>
          <w:b/>
          <w:bCs/>
          <w:lang w:eastAsia="zh-CN"/>
        </w:rPr>
      </w:pPr>
      <w:r>
        <w:rPr>
          <w:rFonts w:hint="eastAsia" w:eastAsia="宋体" w:cs="宋体"/>
          <w:b/>
          <w:bCs/>
          <w:lang w:eastAsia="zh-CN"/>
        </w:rPr>
        <w:t>南溪山医院等保测评</w:t>
      </w:r>
    </w:p>
    <w:p>
      <w:pPr>
        <w:pStyle w:val="2"/>
        <w:rPr>
          <w:rFonts w:hint="eastAsia"/>
          <w:lang w:eastAsia="zh-CN"/>
        </w:rPr>
      </w:pPr>
      <w:bookmarkStart w:id="0" w:name="_GoBack"/>
      <w:bookmarkEnd w:id="0"/>
    </w:p>
    <w:p>
      <w:pPr>
        <w:spacing w:line="324" w:lineRule="auto"/>
        <w:ind w:firstLine="482" w:firstLineChars="200"/>
        <w:rPr>
          <w:rFonts w:eastAsia="宋体" w:cs="宋体"/>
          <w:b/>
          <w:bCs/>
        </w:rPr>
      </w:pPr>
      <w:r>
        <w:rPr>
          <w:rFonts w:hint="eastAsia" w:eastAsia="宋体" w:cs="宋体"/>
          <w:b/>
          <w:bCs/>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网络安全法》二十一条“国家实行网络安全等级保护制度。网络运营者应当按照网络安全等级保护制度的要求，履行下列安全保护义务，保障网络免受干扰、破坏或者未经授权的访问，防止网络数据泄露或者被窃取、篡改”规定，为了落实国家网络安全等级保护制度，履行网络安全保护义务，广西壮族自治区南溪山医院计划采购一家有网络安全等级保护测评资质的机构对相关等级保护对象开展安全等级保护测评工作，衡量等级保护对象是否达到相应等级的安全保护能力，并出具公安机关认可的的网络安全等级保护测评报告。</w:t>
      </w:r>
    </w:p>
    <w:p>
      <w:pPr>
        <w:numPr>
          <w:ilvl w:val="0"/>
          <w:numId w:val="1"/>
        </w:numPr>
        <w:spacing w:line="324" w:lineRule="auto"/>
        <w:ind w:firstLine="482" w:firstLineChars="200"/>
        <w:rPr>
          <w:rFonts w:hint="eastAsia" w:eastAsia="宋体" w:cs="宋体"/>
          <w:b/>
          <w:bCs/>
          <w:lang w:eastAsia="zh-CN"/>
        </w:rPr>
      </w:pPr>
      <w:r>
        <w:rPr>
          <w:rFonts w:hint="eastAsia" w:eastAsia="宋体" w:cs="宋体"/>
          <w:b/>
          <w:bCs/>
        </w:rPr>
        <w:t>项目</w:t>
      </w:r>
      <w:r>
        <w:rPr>
          <w:rFonts w:hint="eastAsia" w:eastAsia="宋体" w:cs="宋体"/>
          <w:b/>
          <w:bCs/>
          <w:lang w:eastAsia="zh-CN"/>
        </w:rPr>
        <w:t>需求</w:t>
      </w:r>
    </w:p>
    <w:p>
      <w:pPr>
        <w:widowControl/>
        <w:spacing w:line="324" w:lineRule="auto"/>
        <w:rPr>
          <w:rFonts w:eastAsia="宋体" w:cs="宋体"/>
          <w:b/>
          <w:bCs/>
        </w:rPr>
      </w:pPr>
      <w:r>
        <w:rPr>
          <w:rFonts w:hint="eastAsia" w:eastAsia="宋体" w:cs="宋体"/>
          <w:b/>
        </w:rPr>
        <w:t>★</w:t>
      </w:r>
      <w:r>
        <w:rPr>
          <w:rFonts w:hint="eastAsia" w:eastAsia="宋体" w:cs="宋体"/>
          <w:b/>
          <w:bCs/>
        </w:rPr>
        <w:t>1、总的要求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依据《网络安全等级保护基本要求》（GB/T 22239-2019）根据国家网络安全等级保护的相关要求，我院</w:t>
      </w:r>
      <w:r>
        <w:rPr>
          <w:rFonts w:hint="eastAsia" w:ascii="宋体" w:hAnsi="宋体" w:eastAsia="宋体" w:cs="宋体"/>
          <w:sz w:val="24"/>
          <w:szCs w:val="24"/>
          <w:lang w:eastAsia="zh-CN"/>
        </w:rPr>
        <w:t>系统</w:t>
      </w:r>
      <w:r>
        <w:rPr>
          <w:rFonts w:hint="eastAsia" w:ascii="宋体" w:hAnsi="宋体" w:eastAsia="宋体" w:cs="宋体"/>
          <w:sz w:val="24"/>
          <w:szCs w:val="24"/>
        </w:rPr>
        <w:t>进行等级保护测评及等级保护咨询工作，并出具公安机关认可的的网络安全等级保护测评报告。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系统列表报名后向院方联系。</w:t>
      </w:r>
    </w:p>
    <w:p>
      <w:pPr>
        <w:spacing w:line="324" w:lineRule="auto"/>
        <w:rPr>
          <w:rFonts w:eastAsia="宋体" w:cs="宋体"/>
        </w:rPr>
      </w:pPr>
      <w:r>
        <w:rPr>
          <w:rFonts w:hint="eastAsia" w:eastAsia="宋体" w:cs="宋体"/>
          <w:b/>
          <w:bCs/>
        </w:rPr>
        <w:t>2、标准依据</w:t>
      </w:r>
    </w:p>
    <w:p>
      <w:pPr>
        <w:numPr>
          <w:ilvl w:val="0"/>
          <w:numId w:val="0"/>
        </w:numPr>
        <w:spacing w:line="324" w:lineRule="auto"/>
        <w:rPr>
          <w:rFonts w:eastAsia="宋体" w:cs="宋体"/>
        </w:rPr>
      </w:pPr>
      <w:r>
        <w:rPr>
          <w:rFonts w:hint="eastAsia" w:eastAsia="宋体" w:cs="宋体"/>
        </w:rPr>
        <w:t>《计算机信息系统安全保护等级划分准则》（GB 17859-1999)</w:t>
      </w:r>
    </w:p>
    <w:p>
      <w:pPr>
        <w:numPr>
          <w:ilvl w:val="0"/>
          <w:numId w:val="0"/>
        </w:numPr>
        <w:spacing w:line="324" w:lineRule="auto"/>
        <w:rPr>
          <w:rFonts w:eastAsia="宋体" w:cs="宋体"/>
        </w:rPr>
      </w:pPr>
      <w:r>
        <w:rPr>
          <w:rFonts w:hint="eastAsia" w:eastAsia="宋体" w:cs="宋体"/>
        </w:rPr>
        <w:t>《网络安全等级保护基本要求》（GB/T 22239-2019）</w:t>
      </w:r>
    </w:p>
    <w:p>
      <w:pPr>
        <w:numPr>
          <w:ilvl w:val="0"/>
          <w:numId w:val="0"/>
        </w:numPr>
        <w:spacing w:line="324" w:lineRule="auto"/>
        <w:rPr>
          <w:rFonts w:eastAsia="宋体" w:cs="宋体"/>
        </w:rPr>
      </w:pPr>
      <w:r>
        <w:rPr>
          <w:rFonts w:hint="eastAsia" w:eastAsia="宋体" w:cs="宋体"/>
        </w:rPr>
        <w:t>《网络安全等级保护测评要求》（GB/T 28448-2019）</w:t>
      </w:r>
    </w:p>
    <w:p>
      <w:pPr>
        <w:numPr>
          <w:ilvl w:val="0"/>
          <w:numId w:val="0"/>
        </w:numPr>
        <w:spacing w:line="324" w:lineRule="auto"/>
        <w:rPr>
          <w:rFonts w:eastAsia="宋体" w:cs="宋体"/>
        </w:rPr>
      </w:pPr>
      <w:r>
        <w:rPr>
          <w:rFonts w:hint="eastAsia" w:eastAsia="宋体" w:cs="宋体"/>
        </w:rPr>
        <w:t>《网络安全等级保护测评过程指南》（GB/T 28449-2018)</w:t>
      </w:r>
    </w:p>
    <w:p>
      <w:pPr>
        <w:numPr>
          <w:ilvl w:val="0"/>
          <w:numId w:val="0"/>
        </w:numPr>
        <w:spacing w:line="324" w:lineRule="auto"/>
      </w:pPr>
      <w:r>
        <w:rPr>
          <w:rFonts w:hint="eastAsia" w:eastAsia="宋体" w:cs="宋体"/>
        </w:rPr>
        <w:t>《网络安全等级保护设计技术要求》（GB/T 25070-2019）</w:t>
      </w:r>
    </w:p>
    <w:p>
      <w:pPr>
        <w:pStyle w:val="2"/>
        <w:numPr>
          <w:ilvl w:val="0"/>
          <w:numId w:val="0"/>
        </w:numPr>
        <w:rPr>
          <w:rFonts w:hint="eastAsia"/>
          <w:lang w:eastAsia="zh-CN"/>
        </w:rPr>
      </w:pPr>
      <w:r>
        <w:rPr>
          <w:rFonts w:hint="eastAsia" w:ascii="宋体" w:hAnsi="宋体" w:eastAsia="宋体" w:cs="宋体"/>
          <w:kern w:val="2"/>
          <w:sz w:val="24"/>
          <w:szCs w:val="24"/>
          <w:lang w:val="en-US" w:eastAsia="zh-CN" w:bidi="ar-SA"/>
        </w:rPr>
        <w:t>《网络安全等级保护</w:t>
      </w:r>
      <w:r>
        <w:rPr>
          <w:rFonts w:hint="eastAsia" w:eastAsia="宋体" w:cs="宋体"/>
        </w:rPr>
        <w:t>测试评估技术指南》（GB/T 36627-2018）</w:t>
      </w:r>
    </w:p>
    <w:p>
      <w:pPr>
        <w:widowControl/>
        <w:spacing w:line="324" w:lineRule="auto"/>
        <w:rPr>
          <w:rFonts w:eastAsia="宋体" w:cs="宋体"/>
          <w:b/>
          <w:bCs/>
        </w:rPr>
      </w:pPr>
      <w:r>
        <w:rPr>
          <w:rFonts w:hint="eastAsia" w:eastAsia="宋体" w:cs="宋体"/>
          <w:b/>
        </w:rPr>
        <w:t>★3</w:t>
      </w:r>
      <w:r>
        <w:rPr>
          <w:rFonts w:hint="eastAsia" w:eastAsia="宋体" w:cs="宋体"/>
          <w:b/>
          <w:bCs/>
        </w:rPr>
        <w:t>、测评内容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（1）针对各系统按等保2.0要求开展网络安全等级保护测评工作。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（2）针对各系统网络安全工作中所需要进行的定级备案、制度体系等开展咨询工作，建立和完善制度体系及相关记录。</w:t>
      </w:r>
    </w:p>
    <w:p>
      <w:pPr>
        <w:widowControl/>
        <w:spacing w:line="324" w:lineRule="auto"/>
        <w:ind w:firstLine="482" w:firstLineChars="200"/>
        <w:rPr>
          <w:rFonts w:eastAsia="宋体" w:cs="宋体"/>
          <w:b/>
          <w:bCs/>
        </w:rPr>
      </w:pPr>
      <w:r>
        <w:rPr>
          <w:rFonts w:hint="eastAsia" w:eastAsia="宋体" w:cs="宋体"/>
          <w:b/>
          <w:bCs/>
        </w:rPr>
        <w:t>（3）安全通用要求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widowControl/>
        <w:spacing w:line="324" w:lineRule="auto"/>
        <w:ind w:firstLine="241" w:firstLineChars="100"/>
        <w:rPr>
          <w:rFonts w:eastAsia="宋体" w:cs="宋体"/>
          <w:b/>
          <w:bCs/>
        </w:rPr>
      </w:pPr>
      <w:r>
        <w:rPr>
          <w:rFonts w:hint="eastAsia" w:eastAsia="宋体" w:cs="宋体"/>
          <w:b/>
          <w:bCs/>
        </w:rPr>
        <w:t>（4）安全扩展要求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用了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该保护对象涉及的安全扩展要求包括：</w:t>
      </w:r>
    </w:p>
    <w:p>
      <w:pPr>
        <w:widowControl/>
        <w:spacing w:line="324" w:lineRule="auto"/>
        <w:ind w:firstLine="482" w:firstLineChars="200"/>
        <w:rPr>
          <w:rFonts w:eastAsia="宋体" w:cs="宋体"/>
          <w:b/>
          <w:bCs/>
        </w:rPr>
      </w:pPr>
      <w:r>
        <w:rPr>
          <w:rFonts w:hint="eastAsia" w:eastAsia="宋体" w:cs="宋体"/>
          <w:b/>
          <w:bCs/>
        </w:rPr>
        <w:t>1）云计算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云计算安全测评内容包括对安全物理环境、安全通信网络、安全区域边界、安全计算环境、安全管理中心、安全建设管理、安全运维管理等的测评。</w:t>
      </w:r>
    </w:p>
    <w:p>
      <w:pPr>
        <w:widowControl/>
        <w:spacing w:line="324" w:lineRule="auto"/>
        <w:ind w:firstLine="482" w:firstLineChars="200"/>
        <w:rPr>
          <w:rFonts w:eastAsia="宋体" w:cs="宋体"/>
          <w:b/>
          <w:bCs/>
        </w:rPr>
      </w:pPr>
      <w:r>
        <w:rPr>
          <w:rFonts w:hint="eastAsia" w:eastAsia="宋体" w:cs="宋体"/>
          <w:b/>
          <w:bCs/>
        </w:rPr>
        <w:t>2）移动互联</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移动互联安全测评内容包括对安全物理环境、安全区域边界、安全计算环境、安全建设管理、安全运维管理等的测评。</w:t>
      </w:r>
    </w:p>
    <w:p>
      <w:pPr>
        <w:widowControl/>
        <w:spacing w:line="324" w:lineRule="auto"/>
        <w:ind w:firstLine="482" w:firstLineChars="200"/>
        <w:rPr>
          <w:rFonts w:eastAsia="宋体" w:cs="宋体"/>
          <w:b/>
          <w:bCs/>
        </w:rPr>
      </w:pPr>
      <w:r>
        <w:rPr>
          <w:rFonts w:hint="eastAsia" w:eastAsia="宋体" w:cs="宋体"/>
          <w:b/>
          <w:bCs/>
        </w:rPr>
        <w:t>3）物联网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物联网安全测评内容包括对安全物理环境、安全区域边界、安全计算环境、安全运维管理等的测评。</w:t>
      </w:r>
    </w:p>
    <w:p>
      <w:pPr>
        <w:widowControl/>
        <w:spacing w:line="324" w:lineRule="auto"/>
        <w:ind w:firstLine="482" w:firstLineChars="200"/>
        <w:rPr>
          <w:rFonts w:eastAsia="宋体" w:cs="宋体"/>
          <w:b/>
          <w:bCs/>
        </w:rPr>
      </w:pPr>
      <w:r>
        <w:rPr>
          <w:rFonts w:hint="eastAsia" w:eastAsia="宋体" w:cs="宋体"/>
          <w:b/>
          <w:bCs/>
        </w:rPr>
        <w:t>4）工业控制系统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工业控制系统安全测评包括对安全物理环境、安全通信网络、安全区域边界、安全计算环境、安全建设管理方面的测评。</w:t>
      </w:r>
    </w:p>
    <w:p>
      <w:pPr>
        <w:widowControl/>
        <w:numPr>
          <w:ilvl w:val="0"/>
          <w:numId w:val="2"/>
        </w:numPr>
        <w:spacing w:line="324" w:lineRule="auto"/>
        <w:ind w:firstLine="482" w:firstLineChars="200"/>
        <w:rPr>
          <w:rFonts w:eastAsia="宋体" w:cs="宋体"/>
          <w:b/>
          <w:bCs/>
        </w:rPr>
      </w:pPr>
      <w:r>
        <w:rPr>
          <w:rFonts w:hint="eastAsia" w:eastAsia="宋体" w:cs="宋体"/>
          <w:b/>
          <w:bCs/>
        </w:rPr>
        <w:t>大数据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大数据安全测评包括对安全物理环境、安全通信网络、安全计算环境、安全运维管理等的测评。</w:t>
      </w:r>
    </w:p>
    <w:p>
      <w:pPr>
        <w:widowControl/>
        <w:spacing w:line="324" w:lineRule="auto"/>
        <w:rPr>
          <w:rFonts w:eastAsia="宋体" w:cs="宋体"/>
          <w:b/>
          <w:bCs/>
        </w:rPr>
      </w:pPr>
      <w:r>
        <w:rPr>
          <w:rFonts w:hint="eastAsia" w:eastAsia="宋体" w:cs="宋体"/>
          <w:b/>
          <w:bCs/>
        </w:rPr>
        <w:t>4、测评方法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在测评实施过程中，应采用访谈、检查和测试、渗透测试等测评方法进行，并与国家相关规范及标准的要求相符。</w:t>
      </w:r>
      <w:r>
        <w:rPr>
          <w:rFonts w:hint="eastAsia" w:ascii="宋体" w:hAnsi="宋体" w:eastAsia="宋体" w:cs="宋体"/>
          <w:sz w:val="24"/>
          <w:szCs w:val="24"/>
        </w:rPr>
        <w:br w:type="textWrapping"/>
      </w:r>
      <w:r>
        <w:rPr>
          <w:rFonts w:hint="eastAsia" w:ascii="宋体" w:hAnsi="宋体" w:eastAsia="宋体" w:cs="宋体"/>
          <w:sz w:val="24"/>
          <w:szCs w:val="24"/>
        </w:rPr>
        <w:t xml:space="preserve">    访谈是指测评人员通过引导信息系统相关人员进行有目的的（有针对性的）交流以帮助测评人员理解、分析或取得证据的过程；</w:t>
      </w:r>
      <w:r>
        <w:rPr>
          <w:rFonts w:hint="eastAsia" w:ascii="宋体" w:hAnsi="宋体" w:eastAsia="宋体" w:cs="宋体"/>
          <w:sz w:val="24"/>
          <w:szCs w:val="24"/>
        </w:rPr>
        <w:br w:type="textWrapping"/>
      </w:r>
      <w:r>
        <w:rPr>
          <w:rFonts w:hint="eastAsia" w:ascii="宋体" w:hAnsi="宋体" w:eastAsia="宋体" w:cs="宋体"/>
          <w:sz w:val="24"/>
          <w:szCs w:val="24"/>
        </w:rPr>
        <w:t xml:space="preserve">   检查是指测评人员通过对测评对象（如管理制度、操作记录、安全配置等）进行观察、查验、分析以帮助测评人员理解、分析或取得证据的过程；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测试是测评人员使用预定的方法/工具使测评对象产生特定的行为，通过查看和分析结果以帮助测评人员获取证据的过程；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渗透测试是模拟黑客的攻击方法，对受保护对象的应用系统、主机、网络进行攻击，从而验证测评对象的弱点、技术缺陷或漏洞的一种评估方法。</w:t>
      </w:r>
    </w:p>
    <w:p>
      <w:pPr>
        <w:widowControl/>
        <w:spacing w:line="324" w:lineRule="auto"/>
        <w:rPr>
          <w:rFonts w:eastAsia="宋体" w:cs="宋体"/>
          <w:b/>
          <w:bCs/>
        </w:rPr>
      </w:pPr>
      <w:r>
        <w:rPr>
          <w:rFonts w:hint="eastAsia" w:eastAsia="宋体" w:cs="宋体"/>
          <w:b/>
          <w:bCs/>
        </w:rPr>
        <w:t>5、服务成果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测评完成后，出具符合国家等保2.0相关技术标准要求、国家网络安全等级保护管理部门规范要求且公安机关认可的的网络安全等级保护测评报告。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服务期内，为医院方提供一次信息安全培训，包括安全态势、安全技术、攻防技术等内容。</w:t>
      </w:r>
    </w:p>
    <w:p>
      <w:pPr>
        <w:widowControl/>
        <w:spacing w:line="324" w:lineRule="auto"/>
        <w:rPr>
          <w:rFonts w:hint="eastAsia" w:eastAsia="宋体" w:cs="宋体"/>
          <w:b/>
          <w:bCs/>
          <w:lang w:eastAsia="zh-CN"/>
        </w:rPr>
      </w:pPr>
      <w:r>
        <w:rPr>
          <w:rFonts w:hint="eastAsia" w:eastAsia="宋体" w:cs="宋体"/>
          <w:b/>
          <w:bCs/>
          <w:lang w:val="en-US" w:eastAsia="zh-CN"/>
        </w:rPr>
        <w:t>6</w:t>
      </w:r>
      <w:r>
        <w:rPr>
          <w:rFonts w:hint="eastAsia" w:eastAsia="宋体" w:cs="宋体"/>
          <w:b/>
          <w:bCs/>
        </w:rPr>
        <w:t>、</w:t>
      </w:r>
      <w:r>
        <w:rPr>
          <w:rFonts w:hint="eastAsia" w:eastAsia="宋体" w:cs="宋体"/>
          <w:b/>
          <w:bCs/>
          <w:lang w:eastAsia="zh-CN"/>
        </w:rPr>
        <w:t>其他要求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项目组成不少于5人，至少包括一名高级测评师、一名中级测评师、两名初级测评师和一名具有测评师资质的质量监督人员；派驻现场测评人员不少于三名测评师，至少包括一名中级测评师，两名初级测评师。项目测评实施人员</w:t>
      </w:r>
      <w:r>
        <w:rPr>
          <w:rFonts w:ascii="宋体" w:hAnsi="宋体" w:eastAsia="宋体" w:cs="宋体"/>
          <w:color w:val="000000"/>
          <w:kern w:val="0"/>
          <w:sz w:val="24"/>
          <w:szCs w:val="24"/>
        </w:rPr>
        <w:t>必须</w:t>
      </w:r>
      <w:r>
        <w:rPr>
          <w:rFonts w:hint="eastAsia" w:ascii="宋体" w:hAnsi="宋体" w:eastAsia="宋体" w:cs="宋体"/>
          <w:sz w:val="24"/>
          <w:szCs w:val="24"/>
        </w:rPr>
        <w:t>具有公安部信息安全等级保护评估中心（或中关村信息安全测评联盟）颁发的《信息/网络安全等级测评师证书》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2、投标人如在广西设有常驻的机构提供本地化服务，请提供相关证明文件。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3、中标人必须签署相关保密协议，严格遵守协议要求。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4、投标人在广西有同行业项目服务案例，如有请提供。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5、投标人必须针对本项目提供技术、实施、售后服务方案。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、应协助医院完成开展等保测评所需要的前后相关工作。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7、建议供应商具有《网络安全等级测评与检测评估机构服务认证证书》</w:t>
      </w:r>
      <w:r>
        <w:rPr>
          <w:rFonts w:hint="eastAsia" w:eastAsia="宋体"/>
          <w:color w:val="000000"/>
          <w:spacing w:val="0"/>
          <w:w w:val="100"/>
          <w:position w:val="0"/>
          <w:shd w:val="clear" w:color="auto" w:fill="auto"/>
          <w:lang w:eastAsia="zh-CN"/>
        </w:rPr>
        <w:t>、广</w:t>
      </w:r>
      <w:r>
        <w:rPr>
          <w:color w:val="000000"/>
          <w:spacing w:val="0"/>
          <w:w w:val="100"/>
          <w:position w:val="0"/>
          <w:shd w:val="clear" w:color="auto" w:fill="auto"/>
        </w:rPr>
        <w:t>西</w:t>
      </w:r>
      <w:r>
        <w:rPr>
          <w:rFonts w:hint="eastAsia"/>
          <w:color w:val="000000"/>
          <w:spacing w:val="0"/>
          <w:w w:val="100"/>
          <w:position w:val="0"/>
          <w:shd w:val="clear" w:color="auto" w:fill="auto"/>
          <w:lang w:eastAsia="zh-CN"/>
        </w:rPr>
        <w:t>壮族</w:t>
      </w:r>
      <w:r>
        <w:rPr>
          <w:color w:val="000000"/>
          <w:spacing w:val="0"/>
          <w:w w:val="100"/>
          <w:position w:val="0"/>
          <w:shd w:val="clear" w:color="auto" w:fill="auto"/>
        </w:rPr>
        <w:t>自治区信息安全等级保护协调（领导）小组办公室办理的有效备案手续文件（原件</w:t>
      </w:r>
      <w:r>
        <w:rPr>
          <w:color w:val="684334"/>
          <w:spacing w:val="0"/>
          <w:w w:val="100"/>
          <w:position w:val="0"/>
          <w:shd w:val="clear" w:color="auto" w:fill="auto"/>
        </w:rPr>
        <w:t>）</w:t>
      </w:r>
      <w:r>
        <w:rPr>
          <w:rFonts w:hint="eastAsia" w:ascii="宋体" w:hAnsi="宋体" w:eastAsia="宋体" w:cs="宋体"/>
          <w:sz w:val="24"/>
          <w:szCs w:val="24"/>
          <w:lang w:val="en-US" w:eastAsia="zh-CN"/>
        </w:rPr>
        <w:t>。</w:t>
      </w:r>
    </w:p>
    <w:p>
      <w:pPr>
        <w:pStyle w:val="4"/>
        <w:spacing w:line="324" w:lineRule="auto"/>
        <w:outlineLvl w:val="0"/>
        <w:rPr>
          <w:rFonts w:hAnsi="宋体" w:eastAsia="宋体" w:cs="宋体"/>
          <w:szCs w:val="24"/>
        </w:rPr>
      </w:pPr>
      <w:r>
        <w:rPr>
          <w:rFonts w:hint="eastAsia" w:hAnsi="宋体" w:eastAsia="宋体" w:cs="宋体"/>
          <w:b/>
          <w:bCs/>
          <w:szCs w:val="24"/>
        </w:rPr>
        <w:t>完成期限</w:t>
      </w:r>
      <w:r>
        <w:rPr>
          <w:rFonts w:hint="eastAsia" w:hAnsi="宋体" w:eastAsia="宋体" w:cs="宋体"/>
          <w:szCs w:val="24"/>
        </w:rPr>
        <w:t>：本项目等级保护测评对象的所有现场测评并出具</w:t>
      </w:r>
      <w:r>
        <w:rPr>
          <w:rFonts w:hint="eastAsia" w:hAnsi="宋体" w:eastAsia="宋体" w:cs="宋体"/>
          <w:szCs w:val="24"/>
          <w:lang w:eastAsia="zh-CN"/>
        </w:rPr>
        <w:t>初</w:t>
      </w:r>
      <w:r>
        <w:rPr>
          <w:rFonts w:hint="eastAsia" w:hAnsi="宋体" w:eastAsia="宋体" w:cs="宋体"/>
          <w:szCs w:val="24"/>
        </w:rPr>
        <w:t>测报告工作须在采购人通知进场之日起</w:t>
      </w:r>
      <w:r>
        <w:rPr>
          <w:rFonts w:hint="eastAsia" w:hAnsi="宋体" w:eastAsia="宋体" w:cs="宋体"/>
          <w:szCs w:val="24"/>
          <w:u w:val="single"/>
          <w:lang w:val="en-US" w:eastAsia="zh-CN"/>
        </w:rPr>
        <w:t>14</w:t>
      </w:r>
      <w:r>
        <w:rPr>
          <w:rFonts w:hint="eastAsia" w:hAnsi="宋体" w:eastAsia="宋体" w:cs="宋体"/>
          <w:szCs w:val="24"/>
        </w:rPr>
        <w:t>个工作日之内完成</w:t>
      </w:r>
      <w:r>
        <w:rPr>
          <w:rFonts w:hint="eastAsia" w:hAnsi="宋体" w:eastAsia="宋体" w:cs="宋体"/>
          <w:szCs w:val="24"/>
          <w:lang w:eastAsia="zh-CN"/>
        </w:rPr>
        <w:t>，整体项目完成时间</w:t>
      </w:r>
      <w:r>
        <w:rPr>
          <w:rFonts w:hint="eastAsia" w:hAnsi="宋体" w:eastAsia="宋体" w:cs="宋体"/>
          <w:szCs w:val="24"/>
        </w:rPr>
        <w:t>须在采购人通知进场之日起</w:t>
      </w:r>
      <w:r>
        <w:rPr>
          <w:rFonts w:hint="eastAsia" w:hAnsi="宋体" w:eastAsia="宋体" w:cs="宋体"/>
          <w:szCs w:val="24"/>
          <w:u w:val="single"/>
          <w:lang w:val="en-US" w:eastAsia="zh-CN"/>
        </w:rPr>
        <w:t>50</w:t>
      </w:r>
      <w:r>
        <w:rPr>
          <w:rFonts w:hint="eastAsia" w:hAnsi="宋体" w:eastAsia="宋体" w:cs="宋体"/>
          <w:szCs w:val="24"/>
        </w:rPr>
        <w:t>个工作日之内。</w:t>
      </w:r>
    </w:p>
    <w:p>
      <w:pPr>
        <w:pStyle w:val="2"/>
        <w:rPr>
          <w:rFonts w:hint="eastAsia" w:hAnsi="宋体" w:eastAsia="宋体" w:cs="宋体"/>
          <w:szCs w:val="24"/>
        </w:rPr>
      </w:pPr>
      <w:r>
        <w:rPr>
          <w:rFonts w:hint="eastAsia" w:hAnsi="宋体" w:eastAsia="宋体" w:cs="宋体"/>
          <w:b/>
          <w:bCs/>
          <w:szCs w:val="24"/>
        </w:rPr>
        <w:t>服务地点：</w:t>
      </w:r>
      <w:r>
        <w:rPr>
          <w:rFonts w:hint="eastAsia" w:hAnsi="宋体" w:eastAsia="宋体" w:cs="宋体"/>
          <w:szCs w:val="24"/>
        </w:rPr>
        <w:t>广西区采购人指定地点。</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A4B63C"/>
    <w:multiLevelType w:val="singleLevel"/>
    <w:tmpl w:val="C1A4B63C"/>
    <w:lvl w:ilvl="0" w:tentative="0">
      <w:start w:val="2"/>
      <w:numFmt w:val="chineseCounting"/>
      <w:suff w:val="nothing"/>
      <w:lvlText w:val="%1、"/>
      <w:lvlJc w:val="left"/>
      <w:rPr>
        <w:rFonts w:hint="eastAsia"/>
      </w:rPr>
    </w:lvl>
  </w:abstractNum>
  <w:abstractNum w:abstractNumId="1">
    <w:nsid w:val="2B3DE5BE"/>
    <w:multiLevelType w:val="singleLevel"/>
    <w:tmpl w:val="2B3DE5BE"/>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18A60138"/>
    <w:rsid w:val="009F4C1B"/>
    <w:rsid w:val="06F127CA"/>
    <w:rsid w:val="18A60138"/>
    <w:rsid w:val="2BAA1FCF"/>
    <w:rsid w:val="2E8C5F2F"/>
    <w:rsid w:val="2FEA0D21"/>
    <w:rsid w:val="342033A2"/>
    <w:rsid w:val="3661545D"/>
    <w:rsid w:val="3CAB46A5"/>
    <w:rsid w:val="50FC089B"/>
    <w:rsid w:val="548B08B3"/>
    <w:rsid w:val="5524161D"/>
    <w:rsid w:val="573973D3"/>
    <w:rsid w:val="5D6A0EC8"/>
    <w:rsid w:val="65816823"/>
    <w:rsid w:val="66671F5F"/>
    <w:rsid w:val="770B4413"/>
    <w:rsid w:val="79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Plain Text"/>
    <w:basedOn w:val="1"/>
    <w:qFormat/>
    <w:uiPriority w:val="0"/>
    <w:rPr>
      <w:rFonts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2022-07-27T09:00:00Z</dcterms:created>
  <dc:creator>微微微</dc:creator>
  <cp:lastModifiedBy>abc</cp:lastModifiedBy>
  <dcterms:modified xsi:type="dcterms:W3CDTF">2022-08-01T01:48:42Z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F184529931BC4578AFB36EF42E315B0F</vt:lpwstr>
  </property>
</Properties>
</file>