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="宋体"/>
          <w:szCs w:val="21"/>
          <w:lang w:eastAsia="zh-CN"/>
        </w:rPr>
      </w:pPr>
      <w:r>
        <w:rPr>
          <w:rFonts w:hint="eastAsia"/>
          <w:szCs w:val="21"/>
        </w:rPr>
        <w:t>数据库审计</w:t>
      </w:r>
      <w:r>
        <w:rPr>
          <w:rFonts w:hint="eastAsia"/>
          <w:szCs w:val="21"/>
          <w:lang w:eastAsia="zh-CN"/>
        </w:rPr>
        <w:t>参数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2"/>
        <w:gridCol w:w="842"/>
        <w:gridCol w:w="68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6" w:hRule="exact"/>
          <w:jc w:val="center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842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系统要求</w:t>
            </w:r>
          </w:p>
        </w:tc>
        <w:tc>
          <w:tcPr>
            <w:tcW w:w="6854" w:type="dxa"/>
            <w:vAlign w:val="center"/>
          </w:tcPr>
          <w:p>
            <w:pPr>
              <w:spacing w:line="300" w:lineRule="exac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1）要求为一个完整的软硬件一体化专用数据库审计系统，无需用户另行提供额外服务器、操作系统、数据库、防火墙、日志系统等；</w:t>
            </w:r>
          </w:p>
          <w:p>
            <w:pPr>
              <w:spacing w:line="300" w:lineRule="exac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★2）事件处理40000条/秒，内置≥4TB磁盘存储空间</w:t>
            </w:r>
            <w:bookmarkStart w:id="0" w:name="RANGE!E5"/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，吞吐量≥10Gbps</w:t>
            </w:r>
            <w:bookmarkEnd w:id="0"/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，业务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端口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≥4千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兆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端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口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和≥2个万兆光口SFP+，冗余电源，支持外部网络储存功能</w:t>
            </w:r>
          </w:p>
          <w:p>
            <w:pPr>
              <w:spacing w:line="300" w:lineRule="exac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★3）无审计数量限制。</w:t>
            </w:r>
          </w:p>
          <w:p>
            <w:pPr>
              <w:spacing w:line="300" w:lineRule="exac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★4）设备具备旁路部署模式，设备部署不影响原有网络结构、服务器相关配置。系统应能独立完成审计数据采集，不依赖于数据库自身审计日志系统，不得在现有服务器上安装可能带来风险的程序。</w:t>
            </w:r>
          </w:p>
          <w:p>
            <w:pPr>
              <w:spacing w:line="300" w:lineRule="exac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5）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日志生命周期管理：包括数据库日志采集、审计分析、存储备份功能</w:t>
            </w:r>
          </w:p>
          <w:p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6）</w:t>
            </w:r>
            <w:r>
              <w:rPr>
                <w:rFonts w:hint="eastAsia" w:ascii="宋体" w:hAnsi="宋体"/>
                <w:sz w:val="21"/>
                <w:szCs w:val="21"/>
              </w:rPr>
              <w:t>管理方式：B/S</w:t>
            </w:r>
          </w:p>
          <w:p>
            <w:pPr>
              <w:pStyle w:val="2"/>
              <w:spacing w:line="30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7）</w:t>
            </w:r>
            <w:r>
              <w:rPr>
                <w:rFonts w:ascii="宋体" w:hAnsi="宋体"/>
                <w:sz w:val="21"/>
                <w:szCs w:val="21"/>
              </w:rPr>
              <w:t>设备支持LCD</w:t>
            </w:r>
            <w:r>
              <w:rPr>
                <w:rFonts w:hint="eastAsia" w:ascii="宋体" w:hAnsi="宋体"/>
                <w:sz w:val="21"/>
                <w:szCs w:val="21"/>
              </w:rPr>
              <w:t>，</w:t>
            </w:r>
            <w:r>
              <w:rPr>
                <w:rFonts w:ascii="宋体" w:hAnsi="宋体"/>
                <w:sz w:val="21"/>
                <w:szCs w:val="21"/>
              </w:rPr>
              <w:t>通过LCD</w:t>
            </w:r>
            <w:r>
              <w:rPr>
                <w:rFonts w:hint="eastAsia" w:ascii="宋体" w:hAnsi="宋体"/>
                <w:sz w:val="21"/>
                <w:szCs w:val="21"/>
              </w:rPr>
              <w:t>显示</w:t>
            </w:r>
            <w:r>
              <w:rPr>
                <w:rFonts w:ascii="宋体" w:hAnsi="宋体"/>
                <w:sz w:val="21"/>
                <w:szCs w:val="21"/>
              </w:rPr>
              <w:t>设备自身信息</w:t>
            </w:r>
            <w:r>
              <w:rPr>
                <w:rFonts w:hint="eastAsia" w:ascii="宋体" w:hAnsi="宋体"/>
                <w:sz w:val="21"/>
                <w:szCs w:val="21"/>
              </w:rPr>
              <w:t>，通过操作按键可以配置设备基本信息（如IP地址、网关等）。（须提供设备面板LCD操作</w:t>
            </w:r>
            <w:r>
              <w:rPr>
                <w:rFonts w:hint="eastAsia" w:ascii="宋体" w:hAnsi="宋体"/>
                <w:sz w:val="21"/>
                <w:szCs w:val="21"/>
                <w:highlight w:val="yellow"/>
              </w:rPr>
              <w:t>视频</w:t>
            </w:r>
            <w:r>
              <w:rPr>
                <w:rFonts w:hint="eastAsia" w:ascii="宋体" w:hAnsi="宋体"/>
                <w:sz w:val="21"/>
                <w:szCs w:val="21"/>
              </w:rPr>
              <w:t>证明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以及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截图并加盖原厂公章</w:t>
            </w:r>
            <w:r>
              <w:rPr>
                <w:rFonts w:hint="eastAsia" w:ascii="宋体" w:hAnsi="宋体"/>
                <w:sz w:val="21"/>
                <w:szCs w:val="21"/>
              </w:rPr>
              <w:t>）</w:t>
            </w:r>
          </w:p>
          <w:p>
            <w:pPr>
              <w:pStyle w:val="2"/>
              <w:spacing w:line="30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8）记录保存不少于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sz w:val="21"/>
                <w:szCs w:val="21"/>
              </w:rPr>
              <w:t>个月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4" w:hRule="exact"/>
          <w:jc w:val="center"/>
        </w:trPr>
        <w:tc>
          <w:tcPr>
            <w:tcW w:w="0" w:type="auto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842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功能要求</w:t>
            </w:r>
          </w:p>
        </w:tc>
        <w:tc>
          <w:tcPr>
            <w:tcW w:w="6854" w:type="dxa"/>
            <w:vAlign w:val="center"/>
          </w:tcPr>
          <w:p>
            <w:pPr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★1）全面支持Oracle、sqlserver、DB2、oceanbase 、greeplumdb 、gaussDB 、UXDB、MySQL、mongodb、redis、PostgreSQL、达梦、人大金仓kingbase、南大通用Gbase、后关系型数据库Cache等数据库的状态监控和审计分析。具备数据库操作记录的查询、保护、备份、分析、审计、实时监控、风险报警和操作过程回放等功能。支持对服务器端、客户端信息的审计，包括IP地址、端口、MAC地址。审计信息包括但不限于：语句执行的时间、主机名、数据库用户名、操作系统用户名、终端IP（三层架构业务系统中）、客户端IP、MAC地址以及SQL语句等信息，对数据库操作进行审计，可对增删改查等行为进行追溯。审计信息包括但不限于：语句执行的时间、主机名、数据库用户名、操作系统用户名、终端IP（三层架构业务系统中）、客户端IP、MAC地址以及SQL语句等信息，对数据库操作进行审计，可对增删改查等行为进行追溯。（须提供真实操作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highlight w:val="yellow"/>
              </w:rPr>
              <w:t>视频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证明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以及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截图并加盖原厂公章</w:t>
            </w:r>
            <w:bookmarkStart w:id="1" w:name="_GoBack"/>
            <w:bookmarkEnd w:id="1"/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exact"/>
          <w:jc w:val="center"/>
        </w:trPr>
        <w:tc>
          <w:tcPr>
            <w:tcW w:w="0" w:type="auto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842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6854" w:type="dxa"/>
            <w:vAlign w:val="center"/>
          </w:tcPr>
          <w:p>
            <w:pPr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2）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ab/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支持集群,系统支持冗余备份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exact"/>
          <w:jc w:val="center"/>
        </w:trPr>
        <w:tc>
          <w:tcPr>
            <w:tcW w:w="0" w:type="auto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842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6854" w:type="dxa"/>
            <w:vAlign w:val="center"/>
          </w:tcPr>
          <w:p>
            <w:pPr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★3）可根据不同的数据库访问方式方式进行归类，如FTP、TELNET、PORTAL、HIS、SuperServer等（提供功能截图并加盖原厂公章）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842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6854" w:type="dxa"/>
            <w:vAlign w:val="center"/>
          </w:tcPr>
          <w:p>
            <w:pPr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4)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支持多个网段客户端对数据库操作行为的会话审计，能够对各种访问数据的途径（如客户端软件、PORTAL、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telnet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、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FTP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等各种操作方法）进行监控和审计，可以跟踪审计某某时间、某某IP、某某计算机名、某某用户对数据库服务器进行了该类操作，具有可疑对象定位功能，可以精确定位可疑对象的物理位置。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8" w:hRule="exact"/>
          <w:jc w:val="center"/>
        </w:trPr>
        <w:tc>
          <w:tcPr>
            <w:tcW w:w="0" w:type="auto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842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6854" w:type="dxa"/>
            <w:vAlign w:val="center"/>
          </w:tcPr>
          <w:p>
            <w:pPr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5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）支持对数据库SQL操作语句的详细审计，可以分析出每条语句的操作方式、详细操作内容，可审计并还原SQL操作语句，并关联返回的结果进行统一展示。（提供功能截图并加盖原厂公章）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exact"/>
          <w:jc w:val="center"/>
        </w:trPr>
        <w:tc>
          <w:tcPr>
            <w:tcW w:w="0" w:type="auto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842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6854" w:type="dxa"/>
            <w:vAlign w:val="center"/>
          </w:tcPr>
          <w:p>
            <w:pPr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6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）系统本身具备发现未知仿冒进程工具，具备防范非法IP地址、防范暴力破解登录用户密码等安全功能（提供功能截图并加盖原厂公章）。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exact"/>
          <w:jc w:val="center"/>
        </w:trPr>
        <w:tc>
          <w:tcPr>
            <w:tcW w:w="0" w:type="auto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842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6854" w:type="dxa"/>
            <w:vAlign w:val="center"/>
          </w:tcPr>
          <w:p>
            <w:pPr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7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。具有SQL模式列表功能，通过从告警数据中点击添加来自动识别和记录为SQL模板，在后续告警判断中进行相似性计算来过滤误告警或不需要的告警。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exact"/>
          <w:jc w:val="center"/>
        </w:trPr>
        <w:tc>
          <w:tcPr>
            <w:tcW w:w="0" w:type="auto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842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6854" w:type="dxa"/>
            <w:vAlign w:val="center"/>
          </w:tcPr>
          <w:p>
            <w:pPr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8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）支持对SQL注入的审计。支持对双向数据包的解析、识别及还原，不仅对数据库操作请求进行实时监控，而且还可对数据库系统返回结果进行完整的还原。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exact"/>
          <w:jc w:val="center"/>
        </w:trPr>
        <w:tc>
          <w:tcPr>
            <w:tcW w:w="0" w:type="auto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842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6854" w:type="dxa"/>
            <w:vAlign w:val="center"/>
          </w:tcPr>
          <w:p>
            <w:pPr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9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）对于疑似威胁的操作记录，能够基于会话进行追踪溯源，对于首次出现的终端（IP、MAC地址）、人（数据库用户）进行高级告警。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exact"/>
          <w:jc w:val="center"/>
        </w:trPr>
        <w:tc>
          <w:tcPr>
            <w:tcW w:w="0" w:type="auto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842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6854" w:type="dxa"/>
            <w:vAlign w:val="center"/>
          </w:tcPr>
          <w:p>
            <w:pPr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1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0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）可疑对象定位功能，可以精确定位可疑对象的物理位置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exact"/>
          <w:jc w:val="center"/>
        </w:trPr>
        <w:tc>
          <w:tcPr>
            <w:tcW w:w="0" w:type="auto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842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6854" w:type="dxa"/>
            <w:vAlign w:val="center"/>
          </w:tcPr>
          <w:p>
            <w:pPr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1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1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）用户可以根据需要自定义规则，并能根据设定的条件产生审计报告。能对审计结果进行多条件组合查询，比如按下列条件查询：IP地址、MAC地址、表名、操作方式、计算机名、数据库名、程序名等。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exact"/>
          <w:jc w:val="center"/>
        </w:trPr>
        <w:tc>
          <w:tcPr>
            <w:tcW w:w="0" w:type="auto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842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6854" w:type="dxa"/>
            <w:vAlign w:val="center"/>
          </w:tcPr>
          <w:p>
            <w:pPr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1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2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）支持包括UTF-8、GB18030、GB2312等编码格式，避免因编码格式不同而导致审计报表出现乱码的情况，保证了审计报表的可读性。（提供功能截图并加盖原厂公章）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3" w:hRule="exact"/>
          <w:jc w:val="center"/>
        </w:trPr>
        <w:tc>
          <w:tcPr>
            <w:tcW w:w="0" w:type="auto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842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6854" w:type="dxa"/>
            <w:vAlign w:val="center"/>
          </w:tcPr>
          <w:p>
            <w:pPr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1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3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）可以进行审计白名单、告警白名单设置可对已授权行为的操作不进行审计或告警，告警白名单支持HIS绑定用户名、PORTAL用户名、IP、MAC进行设置。（提供功能截图并加盖原厂公章）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exact"/>
          <w:jc w:val="center"/>
        </w:trPr>
        <w:tc>
          <w:tcPr>
            <w:tcW w:w="0" w:type="auto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842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6854" w:type="dxa"/>
            <w:vAlign w:val="center"/>
          </w:tcPr>
          <w:p>
            <w:pPr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1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4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）审计查询支持多条件进行精细化查询，可根据事件的多种条件进行事件记录查询（提供功能截图并加盖原厂公章）。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exact"/>
          <w:jc w:val="center"/>
        </w:trPr>
        <w:tc>
          <w:tcPr>
            <w:tcW w:w="0" w:type="auto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842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6854" w:type="dxa"/>
            <w:vAlign w:val="center"/>
          </w:tcPr>
          <w:p>
            <w:pPr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1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5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）支持接口总带宽分析，支持服务器带宽分析，支持服务器流量分析，支持服务器活跃度分析根据带宽数值大小排名，显示总连接数、最大连接数、最小连接数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exact"/>
          <w:jc w:val="center"/>
        </w:trPr>
        <w:tc>
          <w:tcPr>
            <w:tcW w:w="0" w:type="auto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842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6854" w:type="dxa"/>
            <w:vAlign w:val="center"/>
          </w:tcPr>
          <w:p>
            <w:pPr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1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6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）可以对数据库的访问行为进行分析，从服务器、数据库、客户端多个维度进行数据库查询、删除等操作数量进行统计分析。并将分析结果以图表的形式展现出来。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6" w:hRule="exact"/>
          <w:jc w:val="center"/>
        </w:trPr>
        <w:tc>
          <w:tcPr>
            <w:tcW w:w="0" w:type="auto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842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6854" w:type="dxa"/>
            <w:vAlign w:val="center"/>
          </w:tcPr>
          <w:p>
            <w:pPr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1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7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）支持系统内置规则库，包括SQL，Global, his web ,medtrak,telnet告警规则，支持对告警行为进行二次人工研判，支持监控中心报警、短信报警、邮件报警、Syslog报警等报警方式。支持对数据库告警查询、显示告警级别和处理状态。支持自定义通用告警规则，包括对请求和响应数据的关键字告警，响应数据的响应时间，返回行数告警，支持告警白名单，支持邮件告警功能，支持短信告警功能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3" w:hRule="exact"/>
          <w:jc w:val="center"/>
        </w:trPr>
        <w:tc>
          <w:tcPr>
            <w:tcW w:w="0" w:type="auto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842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6854" w:type="dxa"/>
            <w:vAlign w:val="center"/>
          </w:tcPr>
          <w:p>
            <w:pPr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1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8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）管理员登陆支持静态口令认证，密码短信认证等。支持三权分立，系统提供了审计管理员、系统管理员、安全管理员分权的用户体系。支持WEB、命令行、Console进行管理配置，支持管理员权限划分，可自定义管理员角色，支持系统日志，支持授权管理，支持系统数据备份，支持系统数据定期清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exact"/>
          <w:jc w:val="center"/>
        </w:trPr>
        <w:tc>
          <w:tcPr>
            <w:tcW w:w="0" w:type="auto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842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6854" w:type="dxa"/>
            <w:vAlign w:val="center"/>
          </w:tcPr>
          <w:p>
            <w:pPr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1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9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）内置疑似SQL注入、等多种风险审计规则库。可以在对SQL注入等行为进行告警。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exact"/>
          <w:jc w:val="center"/>
        </w:trPr>
        <w:tc>
          <w:tcPr>
            <w:tcW w:w="0" w:type="auto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842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6854" w:type="dxa"/>
            <w:vAlign w:val="center"/>
          </w:tcPr>
          <w:p>
            <w:pPr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2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0)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支持关键词配置，可手动添加关键词，也可以进行关键词导入。根据关键词对敏感操作进行审计、告警等。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8" w:hRule="exact"/>
          <w:jc w:val="center"/>
        </w:trPr>
        <w:tc>
          <w:tcPr>
            <w:tcW w:w="0" w:type="auto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842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6854" w:type="dxa"/>
            <w:vAlign w:val="center"/>
          </w:tcPr>
          <w:p>
            <w:pPr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21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）支持告警剧本功能，通过拖拽的方式，设计告警过滤条件，形成一个流程化剧本。通过剧本来提升告警的准确度。（提供功能截图并加盖原厂公章）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exact"/>
          <w:jc w:val="center"/>
        </w:trPr>
        <w:tc>
          <w:tcPr>
            <w:tcW w:w="0" w:type="auto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842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6854" w:type="dxa"/>
            <w:vAlign w:val="center"/>
          </w:tcPr>
          <w:p>
            <w:pPr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2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2)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支持短信告警日志功能，可以对发送的告警短信进行详细记录。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3" w:hRule="exact"/>
          <w:jc w:val="center"/>
        </w:trPr>
        <w:tc>
          <w:tcPr>
            <w:tcW w:w="0" w:type="auto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842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6854" w:type="dxa"/>
            <w:vAlign w:val="center"/>
          </w:tcPr>
          <w:p>
            <w:pPr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2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3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）提供完善、丰富的报表展现，报表格式包括折线图、区域图、柱状图、圆饼图等，支持pdf、excel、word等报表格式输出，支持报表报告定制功能，支持日报、周报、月报、年报和自定义时间段等形式报告，并能自动发送指定用户信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exact"/>
          <w:jc w:val="center"/>
        </w:trPr>
        <w:tc>
          <w:tcPr>
            <w:tcW w:w="0" w:type="auto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842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6854" w:type="dxa"/>
            <w:vAlign w:val="center"/>
          </w:tcPr>
          <w:p>
            <w:pPr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2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4)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支持报表报告自动发送至FTP服务器的功能。可以根据FTP服务器配置与报表发送任务配置，将生成的报表报告自动发送至FTP服务器。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2" w:hRule="exact"/>
          <w:jc w:val="center"/>
        </w:trPr>
        <w:tc>
          <w:tcPr>
            <w:tcW w:w="0" w:type="auto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842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6854" w:type="dxa"/>
            <w:vAlign w:val="center"/>
          </w:tcPr>
          <w:p>
            <w:pPr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2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5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）对告警数据可以进行二次人工研判，对二次人工研判记录日志，并且一个单独的页面对二次研判后的告警内容进行记录展示。（提供功能截图并加盖原厂公章）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exact"/>
          <w:jc w:val="center"/>
        </w:trPr>
        <w:tc>
          <w:tcPr>
            <w:tcW w:w="0" w:type="auto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842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6854" w:type="dxa"/>
            <w:vAlign w:val="center"/>
          </w:tcPr>
          <w:p>
            <w:pPr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2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6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）全面支持后关系型数据库Cache的terminal、portal、studio、Sqlmanager、MedTrak集成工具的审计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exact"/>
          <w:jc w:val="center"/>
        </w:trPr>
        <w:tc>
          <w:tcPr>
            <w:tcW w:w="0" w:type="auto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842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6854" w:type="dxa"/>
            <w:vAlign w:val="center"/>
          </w:tcPr>
          <w:p>
            <w:pPr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2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7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）系统的时间可以和关键服务器中的数据库的时间进行同步，确保记录时间的一致性。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exact"/>
          <w:jc w:val="center"/>
        </w:trPr>
        <w:tc>
          <w:tcPr>
            <w:tcW w:w="0" w:type="auto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842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6854" w:type="dxa"/>
            <w:vAlign w:val="center"/>
          </w:tcPr>
          <w:p>
            <w:pPr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2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8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）对于系统的异常访问可对账号进行强制下线管理，能有效防范非法IP地址、防范暴力破解登录用户密码。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exact"/>
          <w:jc w:val="center"/>
        </w:trPr>
        <w:tc>
          <w:tcPr>
            <w:tcW w:w="0" w:type="auto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842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6854" w:type="dxa"/>
            <w:vAlign w:val="center"/>
          </w:tcPr>
          <w:p>
            <w:pPr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2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9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）支持设置硬盘容量阈值，如果超过设置阈值，通过邮件方式提示用户超过阈值。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exact"/>
          <w:jc w:val="center"/>
        </w:trPr>
        <w:tc>
          <w:tcPr>
            <w:tcW w:w="0" w:type="auto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842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6854" w:type="dxa"/>
            <w:vAlign w:val="center"/>
          </w:tcPr>
          <w:p>
            <w:pPr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30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）支持SNMP功能，可以进行SNMP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V1、V2、V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3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配置，便于监控平台对设备运行状态进行监控。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exact"/>
          <w:jc w:val="center"/>
        </w:trPr>
        <w:tc>
          <w:tcPr>
            <w:tcW w:w="0" w:type="auto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842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6854" w:type="dxa"/>
            <w:vAlign w:val="center"/>
          </w:tcPr>
          <w:p>
            <w:pPr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3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1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）支持配置备份功能，并可以将配置配置自动备份到远端FTP服务器。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exact"/>
          <w:jc w:val="center"/>
        </w:trPr>
        <w:tc>
          <w:tcPr>
            <w:tcW w:w="0" w:type="auto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842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6854" w:type="dxa"/>
            <w:vAlign w:val="center"/>
          </w:tcPr>
          <w:p>
            <w:pPr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3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2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）可对自身系统运行状态检测，可显示显示系统版本、CPU/内存使用率、链路状态、系统运行时间、最近一小时审计与告警总量等信息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exact"/>
          <w:jc w:val="center"/>
        </w:trPr>
        <w:tc>
          <w:tcPr>
            <w:tcW w:w="0" w:type="auto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842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6854" w:type="dxa"/>
            <w:vAlign w:val="center"/>
          </w:tcPr>
          <w:p>
            <w:pPr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33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）支持配置向导功能，可进行配置向导配置，简化配置步骤。易于操作。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9" w:hRule="exact"/>
          <w:jc w:val="center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842" w:type="dxa"/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6854" w:type="dxa"/>
            <w:vAlign w:val="center"/>
          </w:tcPr>
          <w:p>
            <w:pPr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★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34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）考虑到整体系统的兼容性，保障院方信息系统稳定运行，须提供所投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产品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与院方使用相同厂家即东华医为科技有限公司的HIS系统相互兼容认证证明</w:t>
            </w:r>
          </w:p>
          <w:p>
            <w:pPr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★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35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）所投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产品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如遇到与院方现有业务系统或数据库（当前使用版本和未来更新的版本）兼容对接问题，涉及接口服务费用由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所投数据库审计系统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产品厂商承担。（需要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数据库审计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系统产品厂商提供承诺书，加盖公章）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3" w:hRule="exact"/>
          <w:jc w:val="center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842" w:type="dxa"/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服务要求</w:t>
            </w:r>
          </w:p>
        </w:tc>
        <w:tc>
          <w:tcPr>
            <w:tcW w:w="6854" w:type="dxa"/>
            <w:vAlign w:val="center"/>
          </w:tcPr>
          <w:p>
            <w:pPr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★1）当突发网络安全事件时，</w:t>
            </w:r>
            <w:r>
              <w:rPr>
                <w:rFonts w:hint="eastAsia" w:asciiTheme="minorEastAsia" w:hAnsiTheme="minorEastAsia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Theme="minorEastAsia" w:hAnsiTheme="minorEastAsia"/>
                <w:sz w:val="21"/>
                <w:szCs w:val="21"/>
              </w:rPr>
              <w:t>小时内到达现场，协助对遇到的突发性安全事件进行紧急分析和应急处理，内容包括突发事件信息收集、事件分析、分析报告提交、问题解决建议等。</w:t>
            </w:r>
          </w:p>
          <w:p>
            <w:pPr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★2）提供季度巡检服务，周期性地、有针对性地对软件产品服务端及硬件产品的健康巡检，软硬件设备及其运行状态、策略检查、核心功能状态等健康评估，并出具巡检报告。</w:t>
            </w:r>
          </w:p>
          <w:p>
            <w:pPr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3）统计分析出审计中体现出的安全问题的变化趋势，对新出现的网络安全问题进行分析，并给出相应的报告及建议。</w:t>
            </w:r>
          </w:p>
          <w:p>
            <w:pPr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4）提供原厂技术培训服务，提供安全咨询规划服务，包括但不限于产品使用、功能咨询、问题交流、对接规划等各种服务。</w:t>
            </w:r>
          </w:p>
          <w:p>
            <w:pPr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5）厂家能够提供快速本地化现场技术支持（1小时内到达用户现场），提供7*24小时技术服务支持。12小时到达现场排除故障，在规定时间内仍无法排除故障的投标人必须提供备机。</w:t>
            </w:r>
          </w:p>
          <w:p>
            <w:pPr>
              <w:rPr>
                <w:rFonts w:hint="eastAsia"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★6）符合等级保护2.0测评三级要求。</w:t>
            </w:r>
          </w:p>
          <w:p>
            <w:pPr>
              <w:rPr>
                <w:rFonts w:hint="eastAsia"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★7）考虑到整体系统的兼容性，保障院方信息系统稳定运行，所投产品</w:t>
            </w:r>
            <w:r>
              <w:rPr>
                <w:rFonts w:hint="eastAsia" w:asciiTheme="minorEastAsia" w:hAnsiTheme="minorEastAsia"/>
                <w:sz w:val="21"/>
                <w:szCs w:val="21"/>
                <w:lang w:eastAsia="zh-CN"/>
              </w:rPr>
              <w:t>及中标方</w:t>
            </w:r>
            <w:r>
              <w:rPr>
                <w:rFonts w:hint="eastAsia" w:asciiTheme="minorEastAsia" w:hAnsiTheme="minorEastAsia"/>
                <w:sz w:val="21"/>
                <w:szCs w:val="21"/>
              </w:rPr>
              <w:t>需</w:t>
            </w:r>
            <w:r>
              <w:rPr>
                <w:rFonts w:hint="eastAsia" w:asciiTheme="minorEastAsia" w:hAnsiTheme="minorEastAsia"/>
                <w:sz w:val="21"/>
                <w:szCs w:val="21"/>
                <w:lang w:eastAsia="zh-CN"/>
              </w:rPr>
              <w:t>完成与</w:t>
            </w:r>
            <w:r>
              <w:rPr>
                <w:rFonts w:hint="eastAsia" w:asciiTheme="minorEastAsia" w:hAnsiTheme="minorEastAsia"/>
                <w:sz w:val="21"/>
                <w:szCs w:val="21"/>
              </w:rPr>
              <w:t>院方现有信息系统HIS及数据库系统无缝对接。采购人不再另行支付系统改造或对接费用。（投标人须提供承诺书，并加盖公章）</w:t>
            </w:r>
          </w:p>
          <w:p>
            <w:pPr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Theme="minorEastAsia" w:hAnsiTheme="minorEastAsia"/>
                <w:sz w:val="21"/>
                <w:szCs w:val="21"/>
              </w:rPr>
              <w:t>）所提供的产品要采用国家或行业规定的标准进行包装，应含有详细清单、合格证、检测报告、使用说明书及维修手册等相关资料。质保期内出现任何有中标单位设计或设备缺陷引起的故障，免费提供保修、包换、包退服务，所产生的费用由中标单位承担；超过质量保修期的维修、保养等服务及零部件更换，只收取成本费用。</w:t>
            </w:r>
          </w:p>
          <w:p>
            <w:pPr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提供设备原厂商基于本次项目的原厂授权正本</w:t>
            </w:r>
          </w:p>
          <w:p>
            <w:pPr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exact"/>
          <w:jc w:val="center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842" w:type="dxa"/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质保</w:t>
            </w:r>
          </w:p>
        </w:tc>
        <w:tc>
          <w:tcPr>
            <w:tcW w:w="6854" w:type="dxa"/>
            <w:vAlign w:val="center"/>
          </w:tcPr>
          <w:p>
            <w:pPr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≥3年</w:t>
            </w:r>
            <w:r>
              <w:rPr>
                <w:rFonts w:hint="eastAsia" w:asciiTheme="minorEastAsia" w:hAnsiTheme="minorEastAsia"/>
                <w:szCs w:val="21"/>
              </w:rPr>
              <w:t>自货物验收合格之日起，对系统提供三年的免费质量保修期，对系统软件提供终身免费授权和客户化开发及维护升级。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exact"/>
          <w:jc w:val="center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842" w:type="dxa"/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交货时间</w:t>
            </w:r>
          </w:p>
        </w:tc>
        <w:tc>
          <w:tcPr>
            <w:tcW w:w="6854" w:type="dxa"/>
            <w:vAlign w:val="center"/>
          </w:tcPr>
          <w:p>
            <w:pPr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合同签订后30个工作日内交货实施。</w:t>
            </w:r>
          </w:p>
        </w:tc>
      </w:tr>
    </w:tbl>
    <w:p>
      <w:pPr>
        <w:pStyle w:val="2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Q3ZjY2Nzc5ODMzNTRhZjU2ZWUzZjM1N2RlM2VmNDAifQ=="/>
  </w:docVars>
  <w:rsids>
    <w:rsidRoot w:val="00EF0055"/>
    <w:rsid w:val="00070883"/>
    <w:rsid w:val="00071739"/>
    <w:rsid w:val="000B2C5D"/>
    <w:rsid w:val="000C1EC6"/>
    <w:rsid w:val="000C5C13"/>
    <w:rsid w:val="000E2244"/>
    <w:rsid w:val="0013686C"/>
    <w:rsid w:val="001371D5"/>
    <w:rsid w:val="00144700"/>
    <w:rsid w:val="00185FBE"/>
    <w:rsid w:val="002379C5"/>
    <w:rsid w:val="0024703C"/>
    <w:rsid w:val="00296A4E"/>
    <w:rsid w:val="002B67FF"/>
    <w:rsid w:val="003316D6"/>
    <w:rsid w:val="003528A1"/>
    <w:rsid w:val="003D5B45"/>
    <w:rsid w:val="00485BC5"/>
    <w:rsid w:val="004F7AC6"/>
    <w:rsid w:val="00510CEB"/>
    <w:rsid w:val="0053052E"/>
    <w:rsid w:val="005344FF"/>
    <w:rsid w:val="00543452"/>
    <w:rsid w:val="00565EED"/>
    <w:rsid w:val="00644C3C"/>
    <w:rsid w:val="00762E28"/>
    <w:rsid w:val="00763C53"/>
    <w:rsid w:val="00785A56"/>
    <w:rsid w:val="00794D96"/>
    <w:rsid w:val="00835DA1"/>
    <w:rsid w:val="008C4063"/>
    <w:rsid w:val="008C78BA"/>
    <w:rsid w:val="009015B6"/>
    <w:rsid w:val="0095327F"/>
    <w:rsid w:val="009B50FB"/>
    <w:rsid w:val="009E2E2A"/>
    <w:rsid w:val="00A048F7"/>
    <w:rsid w:val="00A45C3A"/>
    <w:rsid w:val="00A55339"/>
    <w:rsid w:val="00A863D0"/>
    <w:rsid w:val="00AA0F8B"/>
    <w:rsid w:val="00AB2697"/>
    <w:rsid w:val="00AC3205"/>
    <w:rsid w:val="00AD5CB7"/>
    <w:rsid w:val="00AE258A"/>
    <w:rsid w:val="00B1401D"/>
    <w:rsid w:val="00B45FCF"/>
    <w:rsid w:val="00B9073B"/>
    <w:rsid w:val="00BB753A"/>
    <w:rsid w:val="00BD1AE3"/>
    <w:rsid w:val="00D10AE7"/>
    <w:rsid w:val="00D80881"/>
    <w:rsid w:val="00DC0C4A"/>
    <w:rsid w:val="00DF6F92"/>
    <w:rsid w:val="00E51363"/>
    <w:rsid w:val="00E56C1B"/>
    <w:rsid w:val="00EB6C93"/>
    <w:rsid w:val="00ED7E85"/>
    <w:rsid w:val="00EF0055"/>
    <w:rsid w:val="00F63A1D"/>
    <w:rsid w:val="00F968D6"/>
    <w:rsid w:val="00FD0F69"/>
    <w:rsid w:val="00FE2936"/>
    <w:rsid w:val="00FF29DA"/>
    <w:rsid w:val="02AD1871"/>
    <w:rsid w:val="03A660A2"/>
    <w:rsid w:val="040E4592"/>
    <w:rsid w:val="05076C27"/>
    <w:rsid w:val="057E74F5"/>
    <w:rsid w:val="06B91E39"/>
    <w:rsid w:val="06BB7B6B"/>
    <w:rsid w:val="093F51ED"/>
    <w:rsid w:val="0962140D"/>
    <w:rsid w:val="09DD4DE0"/>
    <w:rsid w:val="0B017465"/>
    <w:rsid w:val="0BCB0FBA"/>
    <w:rsid w:val="0C4D7C21"/>
    <w:rsid w:val="0EEE44B8"/>
    <w:rsid w:val="0EF40828"/>
    <w:rsid w:val="12773F68"/>
    <w:rsid w:val="13E56991"/>
    <w:rsid w:val="14FC6495"/>
    <w:rsid w:val="155838BF"/>
    <w:rsid w:val="15714980"/>
    <w:rsid w:val="15B66837"/>
    <w:rsid w:val="16131DFC"/>
    <w:rsid w:val="173B5246"/>
    <w:rsid w:val="18AC5CCF"/>
    <w:rsid w:val="1A911621"/>
    <w:rsid w:val="1AC75042"/>
    <w:rsid w:val="1ACE63D1"/>
    <w:rsid w:val="1C3A3BC9"/>
    <w:rsid w:val="1E2C54CE"/>
    <w:rsid w:val="22745AB0"/>
    <w:rsid w:val="26AF6F5F"/>
    <w:rsid w:val="28327F9F"/>
    <w:rsid w:val="2AD57308"/>
    <w:rsid w:val="2BF832AE"/>
    <w:rsid w:val="2D587077"/>
    <w:rsid w:val="2DBD6D89"/>
    <w:rsid w:val="30646ED4"/>
    <w:rsid w:val="31EA18EB"/>
    <w:rsid w:val="32E91BA2"/>
    <w:rsid w:val="348953EB"/>
    <w:rsid w:val="34F208AB"/>
    <w:rsid w:val="35A16764"/>
    <w:rsid w:val="37DF3574"/>
    <w:rsid w:val="389372FD"/>
    <w:rsid w:val="396848CA"/>
    <w:rsid w:val="39EB6200"/>
    <w:rsid w:val="3BED44B1"/>
    <w:rsid w:val="3DD60F75"/>
    <w:rsid w:val="3EEC6CA2"/>
    <w:rsid w:val="3F817BE4"/>
    <w:rsid w:val="40646D0C"/>
    <w:rsid w:val="414032D5"/>
    <w:rsid w:val="435B43F6"/>
    <w:rsid w:val="45101210"/>
    <w:rsid w:val="45FB4946"/>
    <w:rsid w:val="469A0047"/>
    <w:rsid w:val="482C6B18"/>
    <w:rsid w:val="49AD34D2"/>
    <w:rsid w:val="4CE62415"/>
    <w:rsid w:val="4F9C007C"/>
    <w:rsid w:val="4FB04725"/>
    <w:rsid w:val="515D758B"/>
    <w:rsid w:val="515F671F"/>
    <w:rsid w:val="525E67E3"/>
    <w:rsid w:val="528B637A"/>
    <w:rsid w:val="53E144A4"/>
    <w:rsid w:val="55B31E70"/>
    <w:rsid w:val="56717325"/>
    <w:rsid w:val="5733753B"/>
    <w:rsid w:val="57A027F7"/>
    <w:rsid w:val="57AD0CD7"/>
    <w:rsid w:val="590824D3"/>
    <w:rsid w:val="590F20FD"/>
    <w:rsid w:val="5A2275C4"/>
    <w:rsid w:val="5BD26DC8"/>
    <w:rsid w:val="5FC44C79"/>
    <w:rsid w:val="605B738C"/>
    <w:rsid w:val="61A3723C"/>
    <w:rsid w:val="61E34544"/>
    <w:rsid w:val="62522A10"/>
    <w:rsid w:val="62F87114"/>
    <w:rsid w:val="630B633F"/>
    <w:rsid w:val="65085608"/>
    <w:rsid w:val="68831B76"/>
    <w:rsid w:val="68833924"/>
    <w:rsid w:val="695A1117"/>
    <w:rsid w:val="6CD5685C"/>
    <w:rsid w:val="6D301BA0"/>
    <w:rsid w:val="6D6B7560"/>
    <w:rsid w:val="6DFB21AE"/>
    <w:rsid w:val="6F6B6EC0"/>
    <w:rsid w:val="6F857F81"/>
    <w:rsid w:val="70A24B63"/>
    <w:rsid w:val="723D4B43"/>
    <w:rsid w:val="728564EA"/>
    <w:rsid w:val="72AE5A41"/>
    <w:rsid w:val="742A38C7"/>
    <w:rsid w:val="76226744"/>
    <w:rsid w:val="76F33DC3"/>
    <w:rsid w:val="77163BB5"/>
    <w:rsid w:val="79764DDF"/>
    <w:rsid w:val="79E87A8A"/>
    <w:rsid w:val="7A2B12FD"/>
    <w:rsid w:val="7A3E0BE0"/>
    <w:rsid w:val="7B045B68"/>
    <w:rsid w:val="7C613B24"/>
    <w:rsid w:val="7DB14637"/>
    <w:rsid w:val="7E123328"/>
    <w:rsid w:val="7EC7253A"/>
    <w:rsid w:val="7FDB3BE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4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"/>
    <w:basedOn w:val="1"/>
    <w:qFormat/>
    <w:uiPriority w:val="0"/>
  </w:style>
  <w:style w:type="paragraph" w:styleId="3">
    <w:name w:val="Body Text"/>
    <w:basedOn w:val="1"/>
    <w:qFormat/>
    <w:uiPriority w:val="99"/>
    <w:rPr>
      <w:sz w:val="21"/>
      <w:lang w:val="zh-CN"/>
    </w:rPr>
  </w:style>
  <w:style w:type="paragraph" w:styleId="4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</w:rPr>
  </w:style>
  <w:style w:type="table" w:styleId="8">
    <w:name w:val="Table Grid"/>
    <w:basedOn w:val="7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10">
    <w:name w:val="List Paragraph"/>
    <w:basedOn w:val="1"/>
    <w:qFormat/>
    <w:uiPriority w:val="34"/>
    <w:pPr>
      <w:ind w:firstLine="420" w:firstLineChars="200"/>
    </w:pPr>
    <w:rPr>
      <w:rFonts w:ascii="Calibri" w:hAnsi="Calibri" w:eastAsiaTheme="minorEastAsia" w:cstheme="minorBidi"/>
      <w:kern w:val="2"/>
      <w:sz w:val="21"/>
      <w:szCs w:val="22"/>
    </w:rPr>
  </w:style>
  <w:style w:type="paragraph" w:customStyle="1" w:styleId="11">
    <w:name w:val="_Style 1"/>
    <w:basedOn w:val="1"/>
    <w:qFormat/>
    <w:uiPriority w:val="34"/>
    <w:pPr>
      <w:ind w:firstLine="420" w:firstLineChars="200"/>
    </w:pPr>
  </w:style>
  <w:style w:type="paragraph" w:customStyle="1" w:styleId="12">
    <w:name w:val="Table Paragraph"/>
    <w:basedOn w:val="1"/>
    <w:unhideWhenUsed/>
    <w:qFormat/>
    <w:uiPriority w:val="1"/>
    <w:rPr>
      <w:szCs w:val="20"/>
    </w:rPr>
  </w:style>
  <w:style w:type="character" w:customStyle="1" w:styleId="13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4">
    <w:name w:val="页脚 字符"/>
    <w:basedOn w:val="9"/>
    <w:link w:val="4"/>
    <w:qFormat/>
    <w:uiPriority w:val="0"/>
    <w:rPr>
      <w:sz w:val="18"/>
      <w:szCs w:val="18"/>
    </w:rPr>
  </w:style>
  <w:style w:type="paragraph" w:customStyle="1" w:styleId="15">
    <w:name w:val="Revision"/>
    <w:hidden/>
    <w:semiHidden/>
    <w:qFormat/>
    <w:uiPriority w:val="99"/>
    <w:rPr>
      <w:rFonts w:ascii="Times New Roman" w:hAnsi="Times New Roman" w:eastAsia="宋体" w:cs="Times New Roman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4</Pages>
  <Words>619</Words>
  <Characters>3530</Characters>
  <Lines>29</Lines>
  <Paragraphs>8</Paragraphs>
  <TotalTime>0</TotalTime>
  <ScaleCrop>false</ScaleCrop>
  <LinksUpToDate>false</LinksUpToDate>
  <CharactersWithSpaces>4141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2022-10-08T06:56:00Z</dcterms:created>
  <dc:creator>SN</dc:creator>
  <cp:lastModifiedBy>微微微</cp:lastModifiedBy>
  <dcterms:modified xsi:type="dcterms:W3CDTF">2022-10-10T16:35:25Z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BE07564BF957481489199B0A52CD79CE</vt:lpwstr>
  </property>
</Properties>
</file>