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3165"/>
          <w:tab w:val="center" w:pos="4153"/>
        </w:tabs>
        <w:autoSpaceDE w:val="0"/>
        <w:autoSpaceDN w:val="0"/>
        <w:adjustRightInd w:val="0"/>
        <w:spacing w:line="360" w:lineRule="auto"/>
        <w:jc w:val="center"/>
        <w:outlineLvl w:val="0"/>
        <w:rPr>
          <w:rFonts w:hint="eastAsia" w:ascii="宋体" w:hAnsi="宋体" w:eastAsia="宋体" w:cs="宋体"/>
          <w:b/>
          <w:bCs/>
          <w:kern w:val="44"/>
          <w:sz w:val="21"/>
          <w:szCs w:val="21"/>
        </w:rPr>
      </w:pPr>
      <w:r>
        <w:rPr>
          <w:rFonts w:hint="eastAsia" w:ascii="宋体" w:hAnsi="宋体" w:eastAsia="宋体" w:cs="宋体"/>
          <w:b/>
          <w:bCs/>
          <w:kern w:val="44"/>
          <w:sz w:val="21"/>
          <w:szCs w:val="21"/>
          <w:lang w:val="en-US" w:eastAsia="zh-CN"/>
        </w:rPr>
        <w:t>中药配方颗粒</w:t>
      </w:r>
      <w:r>
        <w:rPr>
          <w:rFonts w:hint="eastAsia" w:ascii="宋体" w:hAnsi="宋体" w:eastAsia="宋体" w:cs="宋体"/>
          <w:b/>
          <w:bCs/>
          <w:kern w:val="44"/>
          <w:sz w:val="21"/>
          <w:szCs w:val="21"/>
        </w:rPr>
        <w:t>采购需求</w:t>
      </w:r>
    </w:p>
    <w:p>
      <w:pPr>
        <w:spacing w:line="360" w:lineRule="auto"/>
        <w:jc w:val="left"/>
        <w:rPr>
          <w:rFonts w:hint="eastAsia" w:cs="宋体"/>
          <w:lang w:bidi="ar"/>
        </w:rPr>
      </w:pPr>
      <w:bookmarkStart w:id="0" w:name="_Hlk65055179"/>
    </w:p>
    <w:bookmarkEnd w:id="0"/>
    <w:p>
      <w:pPr>
        <w:spacing w:line="360" w:lineRule="auto"/>
        <w:jc w:val="left"/>
        <w:rPr>
          <w:rFonts w:hint="eastAsia" w:ascii="宋体" w:hAnsi="宋体" w:eastAsia="宋体" w:cs="宋体"/>
          <w:b/>
          <w:bCs w:val="0"/>
          <w:sz w:val="21"/>
          <w:szCs w:val="21"/>
        </w:rPr>
      </w:pPr>
      <w:bookmarkStart w:id="1" w:name="_Toc254970490"/>
      <w:bookmarkStart w:id="2" w:name="_Toc254970631"/>
      <w:r>
        <w:rPr>
          <w:rFonts w:hint="eastAsia" w:ascii="宋体" w:hAnsi="宋体" w:eastAsia="宋体" w:cs="宋体"/>
          <w:b/>
          <w:bCs w:val="0"/>
          <w:sz w:val="21"/>
          <w:szCs w:val="21"/>
          <w:lang w:val="en-US" w:eastAsia="zh-CN"/>
        </w:rPr>
        <w:t>一</w:t>
      </w:r>
      <w:r>
        <w:rPr>
          <w:rFonts w:hint="eastAsia" w:ascii="宋体" w:hAnsi="宋体" w:eastAsia="宋体" w:cs="宋体"/>
          <w:b/>
          <w:bCs w:val="0"/>
          <w:sz w:val="21"/>
          <w:szCs w:val="21"/>
        </w:rPr>
        <w:t>、服务内容及要求</w:t>
      </w:r>
    </w:p>
    <w:p>
      <w:pPr>
        <w:spacing w:line="360" w:lineRule="auto"/>
        <w:jc w:val="left"/>
        <w:rPr>
          <w:rFonts w:hint="eastAsia" w:ascii="宋体" w:hAnsi="宋体" w:eastAsia="宋体" w:cs="宋体"/>
          <w:sz w:val="21"/>
          <w:szCs w:val="21"/>
          <w:lang w:eastAsia="zh-CN"/>
        </w:rPr>
      </w:pPr>
      <w:r>
        <w:rPr>
          <w:rFonts w:hint="eastAsia" w:hAnsi="宋体"/>
          <w:b/>
          <w:bCs/>
        </w:rPr>
        <w:t>▲</w:t>
      </w:r>
      <w:r>
        <w:rPr>
          <w:rFonts w:hint="eastAsia" w:ascii="宋体" w:hAnsi="宋体" w:eastAsia="宋体" w:cs="宋体"/>
          <w:sz w:val="21"/>
          <w:szCs w:val="21"/>
          <w:lang w:val="en-US" w:eastAsia="zh-CN"/>
        </w:rPr>
        <w:t>1.</w:t>
      </w:r>
      <w:r>
        <w:rPr>
          <w:rFonts w:hint="eastAsia" w:ascii="宋体" w:hAnsi="宋体" w:eastAsia="宋体" w:cs="宋体"/>
          <w:sz w:val="21"/>
          <w:szCs w:val="21"/>
        </w:rPr>
        <w:t>中药配方颗粒的品种数：</w:t>
      </w:r>
    </w:p>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可</w:t>
      </w:r>
      <w:r>
        <w:rPr>
          <w:rFonts w:hint="eastAsia" w:ascii="宋体" w:hAnsi="宋体" w:eastAsia="宋体" w:cs="宋体"/>
          <w:sz w:val="21"/>
          <w:szCs w:val="21"/>
        </w:rPr>
        <w:t>提供中药配方颗粒品种不少于 400 种，并保证能满足日常的临床诊疗需要，并承诺与医院签订“供货承诺书”（中标企业必须产品齐全，不得以任何借口（如无货，采购量少等）不执行医院药品采购计划）。</w:t>
      </w:r>
    </w:p>
    <w:p>
      <w:pPr>
        <w:spacing w:line="360" w:lineRule="auto"/>
        <w:jc w:val="left"/>
        <w:rPr>
          <w:rFonts w:hint="eastAsia" w:ascii="宋体" w:hAnsi="宋体" w:eastAsia="宋体" w:cs="宋体"/>
          <w:sz w:val="21"/>
          <w:szCs w:val="21"/>
          <w:lang w:eastAsia="zh-CN"/>
        </w:rPr>
      </w:pPr>
      <w:r>
        <w:rPr>
          <w:rFonts w:hint="eastAsia" w:hAnsi="宋体"/>
          <w:b/>
          <w:bCs/>
        </w:rPr>
        <w:t>▲</w:t>
      </w:r>
      <w:r>
        <w:rPr>
          <w:rFonts w:hint="eastAsia" w:ascii="宋体" w:hAnsi="宋体" w:eastAsia="宋体" w:cs="宋体"/>
          <w:sz w:val="21"/>
          <w:szCs w:val="21"/>
        </w:rPr>
        <w:t>2、中药配方颗粒的质量：</w:t>
      </w:r>
    </w:p>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2.1 生产企业制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w:t>
      </w:r>
    </w:p>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2.2 中药配方颗粒的质量符合中药配方颗粒</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最新国家药品标准或省级药品监督管理部门制定的最新标准、《</w:t>
      </w:r>
      <w:r>
        <w:rPr>
          <w:rFonts w:hint="eastAsia" w:ascii="宋体" w:hAnsi="宋体" w:eastAsia="宋体" w:cs="宋体"/>
          <w:sz w:val="21"/>
          <w:szCs w:val="21"/>
        </w:rPr>
        <w:t>中药配方颗粒</w:t>
      </w:r>
      <w:r>
        <w:rPr>
          <w:rFonts w:hint="eastAsia" w:ascii="宋体" w:hAnsi="宋体" w:eastAsia="宋体" w:cs="宋体"/>
          <w:sz w:val="21"/>
          <w:szCs w:val="21"/>
          <w:lang w:val="en-US" w:eastAsia="zh-CN"/>
        </w:rPr>
        <w:t>质量控制与标准制定技术要求》</w:t>
      </w:r>
      <w:r>
        <w:rPr>
          <w:rFonts w:hint="eastAsia" w:ascii="宋体" w:hAnsi="宋体" w:eastAsia="宋体" w:cs="宋体"/>
          <w:sz w:val="21"/>
          <w:szCs w:val="21"/>
        </w:rPr>
        <w:t xml:space="preserve"> 20</w:t>
      </w:r>
      <w:r>
        <w:rPr>
          <w:rFonts w:hint="eastAsia" w:ascii="宋体" w:hAnsi="宋体" w:eastAsia="宋体" w:cs="宋体"/>
          <w:sz w:val="21"/>
          <w:szCs w:val="21"/>
          <w:lang w:val="en-US" w:eastAsia="zh-CN"/>
        </w:rPr>
        <w:t>20</w:t>
      </w:r>
      <w:r>
        <w:rPr>
          <w:rFonts w:hint="eastAsia" w:ascii="宋体" w:hAnsi="宋体" w:eastAsia="宋体" w:cs="宋体"/>
          <w:sz w:val="21"/>
          <w:szCs w:val="21"/>
        </w:rPr>
        <w:t>年版《中国药典》、《中药配方颗粒管理暂行规定》等相关文件规定（以最新文件规定为准），医院有权随时对中药配方颗粒的生产过程进行抽查检验，或者派出专人监督。</w:t>
      </w:r>
    </w:p>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2.3 生产企业承诺与医院签订“质量保证协议书”，并向医院提供每一批中药配方颗粒的质检报告。</w:t>
      </w:r>
    </w:p>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2.4 中药配方颗粒所使用的设备、包装材料等须符合行业标准，保证中药配方颗粒质量。</w:t>
      </w:r>
    </w:p>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2.5 中药配方颗粒的效期应符合医院药品入库验收标准，以保证药品质量。</w:t>
      </w:r>
    </w:p>
    <w:p>
      <w:pPr>
        <w:spacing w:line="360" w:lineRule="auto"/>
        <w:jc w:val="left"/>
        <w:rPr>
          <w:rFonts w:hint="eastAsia" w:ascii="宋体" w:hAnsi="宋体" w:eastAsia="宋体" w:cs="宋体"/>
          <w:sz w:val="21"/>
          <w:szCs w:val="21"/>
          <w:lang w:eastAsia="zh-CN"/>
        </w:rPr>
      </w:pPr>
      <w:r>
        <w:rPr>
          <w:rFonts w:hint="eastAsia" w:hAnsi="宋体"/>
          <w:b/>
          <w:bCs/>
        </w:rPr>
        <w:t>▲</w:t>
      </w:r>
      <w:r>
        <w:rPr>
          <w:rFonts w:hint="eastAsia" w:ascii="宋体" w:hAnsi="宋体" w:eastAsia="宋体" w:cs="宋体"/>
          <w:sz w:val="21"/>
          <w:szCs w:val="21"/>
          <w:lang w:val="en-US" w:eastAsia="zh-CN"/>
        </w:rPr>
        <w:t>3</w:t>
      </w:r>
      <w:r>
        <w:rPr>
          <w:rFonts w:hint="eastAsia" w:ascii="宋体" w:hAnsi="宋体" w:eastAsia="宋体" w:cs="宋体"/>
          <w:sz w:val="21"/>
          <w:szCs w:val="21"/>
        </w:rPr>
        <w:t>、在投标文件中承诺以下服务条款：</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.1 中标企业免费提供智能调配所需系统、设备，供医院调剂使用，并定期对系统进行更新、对设备进行维护和保养</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以下是相关要求：</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3.11 具备用量自动换算系统（自动将饮片用量换算成中药配方颗粒剂量）；</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3.12 具有电子处方审查功能（有配伍禁忌、超剂量等提示）；</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3.13 药柜具有定位显示功能（快速寻找颗粒位置）；</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3.14 具有颗粒识别系统；</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3.15 多工位调配设备（入药孔数≥4）；</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3.16 自动调剂、封装（调剂完成后直接自动封口，无需手动）；</w:t>
      </w:r>
    </w:p>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3.17 配方颗粒库存管理功能（及时掌握颗粒使用情况）等</w:t>
      </w:r>
      <w:r>
        <w:rPr>
          <w:rFonts w:hint="eastAsia" w:ascii="宋体" w:hAnsi="宋体" w:eastAsia="宋体" w:cs="宋体"/>
          <w:sz w:val="21"/>
          <w:szCs w:val="21"/>
        </w:rPr>
        <w:t>。</w:t>
      </w:r>
    </w:p>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.2 根据医院和项目调配环境要求，医院负责提供合适场地，中标企业负责场地的装修、设备、设备安装及保养等全部事务。</w:t>
      </w:r>
    </w:p>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.3 中标企业免费提供调剂所需的耗材。</w:t>
      </w:r>
    </w:p>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.4 对于近效期颗粒，中标企业免费进行更换。</w:t>
      </w:r>
    </w:p>
    <w:p>
      <w:p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.5 智能调配系统与医院系统对接，所需费用均由中标企业承担。</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.6 中标人为采购人配备协助的人员须为药学类专业毕业，具有中药士及以上资格(投标文件中须提供相关证明复印件)，工作期间遵守采购单位内部的规章制度，服从采购单位的工作时间安排。根据采购单位日常工作量及时间段合理安排协助人员，减少患者侯药时间，从接到处方至调配完成时间不得超过 </w:t>
      </w:r>
      <w:r>
        <w:rPr>
          <w:rFonts w:hint="eastAsia" w:ascii="宋体" w:hAnsi="宋体" w:eastAsia="宋体" w:cs="宋体"/>
          <w:sz w:val="21"/>
          <w:szCs w:val="21"/>
          <w:lang w:val="en-US" w:eastAsia="zh-CN"/>
        </w:rPr>
        <w:t>2</w:t>
      </w:r>
      <w:r>
        <w:rPr>
          <w:rFonts w:hint="eastAsia" w:ascii="宋体" w:hAnsi="宋体" w:eastAsia="宋体" w:cs="宋体"/>
          <w:sz w:val="21"/>
          <w:szCs w:val="21"/>
        </w:rPr>
        <w:t>0min。</w:t>
      </w:r>
    </w:p>
    <w:bookmarkEnd w:id="1"/>
    <w:bookmarkEnd w:id="2"/>
    <w:p>
      <w:pPr>
        <w:spacing w:line="360" w:lineRule="auto"/>
        <w:ind w:firstLine="310" w:firstLineChars="147"/>
        <w:jc w:val="left"/>
        <w:rPr>
          <w:rFonts w:hint="eastAsia" w:ascii="宋体" w:hAnsi="宋体" w:cs="Arial"/>
          <w:bCs/>
          <w:szCs w:val="21"/>
          <w:u w:val="single"/>
        </w:rPr>
      </w:pPr>
      <w:r>
        <w:rPr>
          <w:rFonts w:hint="eastAsia" w:ascii="宋体" w:hAnsi="宋体"/>
          <w:b/>
          <w:szCs w:val="21"/>
        </w:rPr>
        <w:t>采购预算：</w:t>
      </w:r>
      <w:r>
        <w:rPr>
          <w:rFonts w:hint="eastAsia" w:ascii="宋体" w:hAnsi="宋体" w:cs="Arial"/>
          <w:bCs/>
          <w:szCs w:val="21"/>
          <w:u w:val="single"/>
          <w:lang w:val="en-US" w:eastAsia="zh-CN"/>
        </w:rPr>
        <w:t>450</w:t>
      </w:r>
      <w:bookmarkStart w:id="3" w:name="_GoBack"/>
      <w:bookmarkEnd w:id="3"/>
      <w:r>
        <w:rPr>
          <w:rFonts w:hint="eastAsia" w:ascii="宋体" w:hAnsi="宋体" w:cs="Arial"/>
          <w:bCs/>
          <w:szCs w:val="21"/>
          <w:u w:val="single"/>
        </w:rPr>
        <w:t>万元</w:t>
      </w:r>
    </w:p>
    <w:tbl>
      <w:tblPr>
        <w:tblStyle w:val="43"/>
        <w:tblW w:w="96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8"/>
        <w:gridCol w:w="1276"/>
        <w:gridCol w:w="47"/>
        <w:gridCol w:w="803"/>
        <w:gridCol w:w="851"/>
        <w:gridCol w:w="6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668" w:type="dxa"/>
            <w:noWrap w:val="0"/>
            <w:vAlign w:val="center"/>
          </w:tcPr>
          <w:p>
            <w:pPr>
              <w:tabs>
                <w:tab w:val="left" w:pos="180"/>
                <w:tab w:val="left" w:pos="1620"/>
              </w:tabs>
              <w:spacing w:line="320" w:lineRule="exact"/>
              <w:jc w:val="center"/>
              <w:rPr>
                <w:rFonts w:hint="eastAsia" w:ascii="宋体" w:hAnsi="宋体" w:cs="宋体"/>
                <w:szCs w:val="21"/>
              </w:rPr>
            </w:pPr>
            <w:r>
              <w:rPr>
                <w:rFonts w:hint="eastAsia" w:ascii="宋体" w:hAnsi="宋体" w:cs="宋体"/>
                <w:szCs w:val="21"/>
              </w:rPr>
              <w:t>序号</w:t>
            </w:r>
          </w:p>
        </w:tc>
        <w:tc>
          <w:tcPr>
            <w:tcW w:w="1276" w:type="dxa"/>
            <w:noWrap w:val="0"/>
            <w:vAlign w:val="center"/>
          </w:tcPr>
          <w:p>
            <w:pPr>
              <w:tabs>
                <w:tab w:val="left" w:pos="180"/>
                <w:tab w:val="left" w:pos="1620"/>
              </w:tabs>
              <w:spacing w:line="320" w:lineRule="exact"/>
              <w:jc w:val="center"/>
              <w:rPr>
                <w:rFonts w:hint="eastAsia" w:ascii="宋体" w:hAnsi="宋体" w:cs="宋体"/>
                <w:szCs w:val="21"/>
              </w:rPr>
            </w:pPr>
            <w:r>
              <w:rPr>
                <w:rFonts w:hint="eastAsia" w:ascii="宋体" w:hAnsi="宋体" w:cs="宋体"/>
                <w:szCs w:val="21"/>
              </w:rPr>
              <w:t>标的的名称</w:t>
            </w:r>
          </w:p>
        </w:tc>
        <w:tc>
          <w:tcPr>
            <w:tcW w:w="850" w:type="dxa"/>
            <w:gridSpan w:val="2"/>
            <w:noWrap w:val="0"/>
            <w:vAlign w:val="top"/>
          </w:tcPr>
          <w:p>
            <w:pPr>
              <w:tabs>
                <w:tab w:val="left" w:pos="180"/>
                <w:tab w:val="left" w:pos="1620"/>
              </w:tabs>
              <w:spacing w:line="320" w:lineRule="exact"/>
              <w:jc w:val="center"/>
              <w:rPr>
                <w:rFonts w:ascii="宋体" w:hAnsi="宋体" w:cs="宋体"/>
                <w:szCs w:val="21"/>
              </w:rPr>
            </w:pPr>
            <w:r>
              <w:rPr>
                <w:rFonts w:hint="eastAsia" w:ascii="宋体" w:hAnsi="宋体" w:cs="宋体"/>
                <w:szCs w:val="21"/>
              </w:rPr>
              <w:t>数量及</w:t>
            </w:r>
          </w:p>
          <w:p>
            <w:pPr>
              <w:tabs>
                <w:tab w:val="left" w:pos="180"/>
                <w:tab w:val="left" w:pos="1620"/>
              </w:tabs>
              <w:spacing w:line="320" w:lineRule="exact"/>
              <w:jc w:val="center"/>
              <w:rPr>
                <w:rFonts w:hint="eastAsia" w:ascii="宋体" w:hAnsi="宋体" w:cs="宋体"/>
                <w:szCs w:val="21"/>
              </w:rPr>
            </w:pPr>
            <w:r>
              <w:rPr>
                <w:rFonts w:hint="eastAsia" w:ascii="宋体" w:hAnsi="宋体" w:cs="宋体"/>
                <w:szCs w:val="21"/>
              </w:rPr>
              <w:t>单位</w:t>
            </w:r>
          </w:p>
        </w:tc>
        <w:tc>
          <w:tcPr>
            <w:tcW w:w="851" w:type="dxa"/>
            <w:noWrap w:val="0"/>
            <w:vAlign w:val="center"/>
          </w:tcPr>
          <w:p>
            <w:pPr>
              <w:tabs>
                <w:tab w:val="left" w:pos="180"/>
                <w:tab w:val="left" w:pos="1620"/>
              </w:tabs>
              <w:spacing w:line="320" w:lineRule="exact"/>
              <w:jc w:val="center"/>
              <w:rPr>
                <w:rFonts w:hint="eastAsia" w:ascii="宋体" w:hAnsi="宋体" w:cs="宋体"/>
                <w:szCs w:val="21"/>
              </w:rPr>
            </w:pPr>
            <w:r>
              <w:rPr>
                <w:rFonts w:hint="eastAsia" w:ascii="宋体" w:hAnsi="宋体" w:cs="Arial"/>
                <w:szCs w:val="21"/>
              </w:rPr>
              <w:t>所属行业</w:t>
            </w:r>
          </w:p>
        </w:tc>
        <w:tc>
          <w:tcPr>
            <w:tcW w:w="6008" w:type="dxa"/>
            <w:noWrap w:val="0"/>
            <w:vAlign w:val="center"/>
          </w:tcPr>
          <w:p>
            <w:pPr>
              <w:tabs>
                <w:tab w:val="left" w:pos="180"/>
                <w:tab w:val="left" w:pos="1620"/>
              </w:tabs>
              <w:spacing w:line="320" w:lineRule="exact"/>
              <w:jc w:val="center"/>
              <w:rPr>
                <w:rFonts w:hint="eastAsia" w:ascii="宋体" w:hAnsi="宋体" w:cs="宋体"/>
                <w:szCs w:val="21"/>
              </w:rPr>
            </w:pPr>
            <w:r>
              <w:rPr>
                <w:rFonts w:hint="eastAsia" w:ascii="宋体" w:hAnsi="宋体"/>
                <w:szCs w:val="21"/>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668" w:type="dxa"/>
            <w:noWrap w:val="0"/>
            <w:vAlign w:val="center"/>
          </w:tcPr>
          <w:p>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1</w:t>
            </w:r>
          </w:p>
        </w:tc>
        <w:tc>
          <w:tcPr>
            <w:tcW w:w="1276" w:type="dxa"/>
            <w:noWrap w:val="0"/>
            <w:vAlign w:val="center"/>
          </w:tcPr>
          <w:p>
            <w:pPr>
              <w:tabs>
                <w:tab w:val="left" w:pos="180"/>
                <w:tab w:val="left" w:pos="1620"/>
              </w:tabs>
              <w:spacing w:line="360" w:lineRule="auto"/>
              <w:jc w:val="center"/>
              <w:rPr>
                <w:rFonts w:hint="eastAsia" w:ascii="宋体" w:hAnsi="宋体" w:cs="宋体"/>
                <w:szCs w:val="21"/>
              </w:rPr>
            </w:pPr>
            <w:r>
              <w:rPr>
                <w:rFonts w:hint="eastAsia" w:ascii="宋体" w:hAnsi="宋体" w:cs="宋体"/>
                <w:szCs w:val="21"/>
              </w:rPr>
              <w:t>中药配方颗粒供应服务采购</w:t>
            </w:r>
          </w:p>
        </w:tc>
        <w:tc>
          <w:tcPr>
            <w:tcW w:w="850" w:type="dxa"/>
            <w:gridSpan w:val="2"/>
            <w:noWrap w:val="0"/>
            <w:vAlign w:val="center"/>
          </w:tcPr>
          <w:p>
            <w:pPr>
              <w:pStyle w:val="14"/>
              <w:spacing w:line="360" w:lineRule="auto"/>
              <w:jc w:val="center"/>
              <w:rPr>
                <w:rFonts w:hint="eastAsia" w:ascii="宋体" w:hAnsi="宋体" w:cs="Arial"/>
                <w:szCs w:val="21"/>
              </w:rPr>
            </w:pPr>
            <w:r>
              <w:rPr>
                <w:rFonts w:ascii="宋体" w:hAnsi="宋体" w:cs="Arial"/>
                <w:szCs w:val="21"/>
              </w:rPr>
              <w:t>1项</w:t>
            </w:r>
          </w:p>
        </w:tc>
        <w:tc>
          <w:tcPr>
            <w:tcW w:w="851" w:type="dxa"/>
            <w:noWrap w:val="0"/>
            <w:vAlign w:val="center"/>
          </w:tcPr>
          <w:p>
            <w:pPr>
              <w:pStyle w:val="14"/>
              <w:spacing w:line="360" w:lineRule="auto"/>
              <w:jc w:val="center"/>
              <w:rPr>
                <w:rFonts w:hint="eastAsia" w:ascii="宋体" w:hAnsi="宋体" w:cs="Arial"/>
                <w:szCs w:val="21"/>
              </w:rPr>
            </w:pPr>
            <w:r>
              <w:rPr>
                <w:rFonts w:hint="eastAsia" w:ascii="宋体" w:hAnsi="宋体" w:cs="Arial"/>
                <w:szCs w:val="21"/>
              </w:rPr>
              <w:t>工业</w:t>
            </w:r>
          </w:p>
        </w:tc>
        <w:tc>
          <w:tcPr>
            <w:tcW w:w="6008" w:type="dxa"/>
            <w:noWrap w:val="0"/>
            <w:vAlign w:val="center"/>
          </w:tcPr>
          <w:p>
            <w:pPr>
              <w:spacing w:line="360" w:lineRule="exact"/>
              <w:rPr>
                <w:rFonts w:hint="eastAsia" w:ascii="宋体" w:hAnsi="宋体" w:cs="宋体"/>
                <w:szCs w:val="21"/>
              </w:rPr>
            </w:pPr>
            <w:r>
              <w:rPr>
                <w:rFonts w:hint="eastAsia" w:ascii="宋体" w:hAnsi="宋体" w:cs="宋体"/>
                <w:szCs w:val="21"/>
              </w:rPr>
              <w:t>（一）服务要求：</w:t>
            </w:r>
          </w:p>
          <w:p>
            <w:pPr>
              <w:spacing w:line="360" w:lineRule="exact"/>
              <w:rPr>
                <w:rFonts w:hint="eastAsia" w:ascii="宋体" w:hAnsi="宋体" w:cs="宋体"/>
                <w:szCs w:val="21"/>
              </w:rPr>
            </w:pPr>
            <w:r>
              <w:rPr>
                <w:rFonts w:hint="eastAsia" w:ascii="宋体" w:hAnsi="宋体" w:cs="宋体"/>
                <w:szCs w:val="21"/>
              </w:rPr>
              <w:t>1.提供采购人所需的中药配方颗粒，所提供的药品必须符合国家、地方标准，并保证有效期在一年以上。</w:t>
            </w:r>
          </w:p>
          <w:p>
            <w:pPr>
              <w:spacing w:line="360" w:lineRule="exact"/>
              <w:rPr>
                <w:rFonts w:hint="eastAsia" w:ascii="宋体" w:hAnsi="宋体" w:cs="宋体"/>
                <w:szCs w:val="21"/>
              </w:rPr>
            </w:pPr>
            <w:r>
              <w:rPr>
                <w:rFonts w:hint="eastAsia" w:ascii="宋体" w:hAnsi="宋体" w:cs="宋体"/>
                <w:szCs w:val="21"/>
              </w:rPr>
              <w:t>2.常规药品3天内送达，急需药品24小时内送达，药品送到采购人指定位置，提供每一品种的该批次质量检验报告书、随货同行单等。</w:t>
            </w:r>
          </w:p>
          <w:p>
            <w:pPr>
              <w:spacing w:line="360" w:lineRule="exact"/>
              <w:rPr>
                <w:rFonts w:hint="eastAsia" w:ascii="宋体" w:hAnsi="宋体" w:cs="宋体"/>
                <w:szCs w:val="21"/>
              </w:rPr>
            </w:pPr>
            <w:r>
              <w:rPr>
                <w:rFonts w:hint="eastAsia" w:ascii="宋体" w:hAnsi="宋体" w:cs="宋体"/>
                <w:szCs w:val="21"/>
              </w:rPr>
              <w:t>3.提供自动化调剂设备（材料）及配套设施，提供专业设备保养及检修，定期进行设备检修、维护、零配件更换。</w:t>
            </w:r>
          </w:p>
          <w:p>
            <w:pPr>
              <w:spacing w:line="360" w:lineRule="exact"/>
              <w:rPr>
                <w:rFonts w:hint="eastAsia" w:ascii="宋体" w:hAnsi="宋体" w:cs="宋体"/>
                <w:szCs w:val="21"/>
              </w:rPr>
            </w:pPr>
            <w:r>
              <w:rPr>
                <w:rFonts w:hint="eastAsia" w:ascii="宋体" w:hAnsi="宋体" w:cs="宋体"/>
                <w:szCs w:val="21"/>
              </w:rPr>
              <w:t>（二）服务期限：</w:t>
            </w:r>
            <w:r>
              <w:rPr>
                <w:rFonts w:hint="eastAsia" w:ascii="宋体" w:hAnsi="宋体" w:cs="宋体"/>
                <w:szCs w:val="21"/>
                <w:u w:val="single"/>
              </w:rPr>
              <w:t xml:space="preserve"> 3 </w:t>
            </w:r>
            <w:r>
              <w:rPr>
                <w:rFonts w:hint="eastAsia" w:ascii="宋体" w:hAnsi="宋体" w:cs="宋体"/>
                <w:szCs w:val="21"/>
              </w:rPr>
              <w:t>年</w:t>
            </w:r>
            <w:r>
              <w:rPr>
                <w:rFonts w:hint="eastAsia" w:ascii="宋体" w:hAnsi="宋体" w:cs="宋体"/>
              </w:rPr>
              <w:t>。</w:t>
            </w:r>
          </w:p>
          <w:p>
            <w:pPr>
              <w:spacing w:line="360" w:lineRule="exact"/>
              <w:rPr>
                <w:rFonts w:hint="eastAsia" w:ascii="宋体" w:hAnsi="宋体" w:cs="宋体"/>
                <w:szCs w:val="21"/>
              </w:rPr>
            </w:pPr>
            <w:r>
              <w:rPr>
                <w:rFonts w:hint="eastAsia" w:ascii="宋体" w:hAnsi="宋体" w:cs="宋体"/>
                <w:szCs w:val="21"/>
              </w:rPr>
              <w:t>（三）报价要求：</w:t>
            </w:r>
          </w:p>
          <w:p>
            <w:pPr>
              <w:spacing w:line="300" w:lineRule="exact"/>
              <w:rPr>
                <w:rFonts w:hint="eastAsia" w:ascii="宋体" w:hAnsi="宋体" w:cs="宋体"/>
                <w:szCs w:val="21"/>
              </w:rPr>
            </w:pPr>
            <w:r>
              <w:rPr>
                <w:rFonts w:hint="eastAsia" w:ascii="宋体" w:hAnsi="宋体" w:cs="宋体"/>
                <w:szCs w:val="21"/>
              </w:rPr>
              <w:t>▲1.本项目以中药配方颗粒国标</w:t>
            </w:r>
            <w:r>
              <w:rPr>
                <w:rFonts w:hint="eastAsia" w:ascii="宋体" w:hAnsi="宋体" w:cs="宋体"/>
                <w:szCs w:val="21"/>
                <w:lang w:eastAsia="zh-CN"/>
              </w:rPr>
              <w:t>（</w:t>
            </w:r>
            <w:r>
              <w:rPr>
                <w:rFonts w:hint="eastAsia" w:ascii="宋体" w:hAnsi="宋体" w:cs="宋体"/>
                <w:szCs w:val="21"/>
                <w:lang w:val="en-US" w:eastAsia="zh-CN"/>
              </w:rPr>
              <w:t>含省标，在国标出台后优先国标</w:t>
            </w:r>
            <w:r>
              <w:rPr>
                <w:rFonts w:hint="eastAsia" w:ascii="宋体" w:hAnsi="宋体" w:cs="宋体"/>
                <w:szCs w:val="21"/>
                <w:lang w:eastAsia="zh-CN"/>
              </w:rPr>
              <w:t>）</w:t>
            </w:r>
            <w:r>
              <w:rPr>
                <w:rFonts w:hint="eastAsia" w:ascii="宋体" w:hAnsi="宋体" w:cs="宋体"/>
                <w:szCs w:val="21"/>
              </w:rPr>
              <w:t>价格报价，作为服务期内供应价格依据，如有选择、有条件的报价，或有差异性的报价将作投标无效处理。</w:t>
            </w:r>
            <w:r>
              <w:rPr>
                <w:rFonts w:hint="eastAsia" w:ascii="宋体" w:hAnsi="宋体" w:eastAsia="宋体" w:cs="宋体"/>
                <w:bCs/>
                <w:sz w:val="21"/>
                <w:szCs w:val="21"/>
              </w:rPr>
              <w:t>统一按折合每克饮片报价</w:t>
            </w:r>
            <w:r>
              <w:rPr>
                <w:rFonts w:hint="eastAsia" w:ascii="宋体" w:hAnsi="宋体" w:eastAsia="宋体" w:cs="宋体"/>
                <w:bCs/>
                <w:sz w:val="21"/>
                <w:szCs w:val="21"/>
                <w:lang w:eastAsia="zh-CN"/>
              </w:rPr>
              <w:t>，</w:t>
            </w:r>
            <w:r>
              <w:rPr>
                <w:rFonts w:hint="eastAsia" w:ascii="宋体" w:hAnsi="宋体" w:cs="宋体"/>
                <w:szCs w:val="21"/>
              </w:rPr>
              <w:t>报价应包含一切相关费用（如包装费、检测费、运费等）</w:t>
            </w:r>
          </w:p>
          <w:p>
            <w:pPr>
              <w:spacing w:line="360" w:lineRule="exact"/>
              <w:rPr>
                <w:rFonts w:hint="eastAsia" w:ascii="宋体" w:hAnsi="宋体" w:cs="宋体"/>
                <w:szCs w:val="21"/>
              </w:rPr>
            </w:pPr>
            <w:r>
              <w:rPr>
                <w:rFonts w:hint="eastAsia" w:ascii="宋体" w:hAnsi="宋体" w:cs="宋体"/>
                <w:szCs w:val="21"/>
              </w:rPr>
              <w:t>2.</w:t>
            </w:r>
            <w:r>
              <w:rPr>
                <w:rFonts w:hint="eastAsia"/>
                <w:szCs w:val="21"/>
              </w:rPr>
              <w:t>投标人须就本企业生产的</w:t>
            </w:r>
            <w:r>
              <w:rPr>
                <w:rFonts w:hint="eastAsia"/>
                <w:szCs w:val="21"/>
                <w:lang w:val="en-US" w:eastAsia="zh-CN"/>
              </w:rPr>
              <w:t>349</w:t>
            </w:r>
            <w:r>
              <w:rPr>
                <w:rFonts w:hint="eastAsia"/>
                <w:szCs w:val="21"/>
              </w:rPr>
              <w:t>种中药配方颗粒品种进行单价报价，作为服务期内供应价格依据。</w:t>
            </w:r>
          </w:p>
          <w:p>
            <w:pPr>
              <w:spacing w:line="360" w:lineRule="exact"/>
              <w:rPr>
                <w:rFonts w:hint="eastAsia" w:ascii="宋体" w:hAnsi="宋体" w:cs="宋体"/>
                <w:szCs w:val="21"/>
              </w:rPr>
            </w:pPr>
            <w:r>
              <w:rPr>
                <w:rFonts w:hint="eastAsia" w:ascii="宋体" w:hAnsi="宋体" w:cs="宋体"/>
                <w:szCs w:val="21"/>
              </w:rPr>
              <w:t>3.投标人的报价不得高于国内省级三级甲等中医类医院的供应价格（如投标人在广西区内有业绩则必须先提供广西区内三级甲等中医院类医院的供应价证明材料），目录以外的品种遵照此原则报价。</w:t>
            </w:r>
          </w:p>
          <w:p>
            <w:pPr>
              <w:spacing w:line="360" w:lineRule="exact"/>
              <w:rPr>
                <w:rFonts w:hint="eastAsia" w:ascii="宋体" w:hAnsi="宋体" w:cs="宋体"/>
                <w:szCs w:val="21"/>
              </w:rPr>
            </w:pPr>
            <w:r>
              <w:rPr>
                <w:rFonts w:hint="eastAsia" w:ascii="宋体" w:hAnsi="宋体" w:cs="宋体"/>
                <w:szCs w:val="21"/>
              </w:rPr>
              <w:t>（四）投标要求：</w:t>
            </w:r>
          </w:p>
          <w:p>
            <w:pPr>
              <w:autoSpaceDE w:val="0"/>
              <w:autoSpaceDN w:val="0"/>
              <w:spacing w:line="360" w:lineRule="exact"/>
              <w:jc w:val="left"/>
              <w:rPr>
                <w:rFonts w:hint="eastAsia" w:ascii="宋体" w:hAnsi="宋体" w:cs="宋体"/>
              </w:rPr>
            </w:pPr>
            <w:r>
              <w:rPr>
                <w:rFonts w:hint="eastAsia" w:ascii="宋体" w:hAnsi="宋体" w:cs="宋体"/>
              </w:rPr>
              <w:t>1.在药品购销过程中严格执行《药品管理法》、《医疗机构药事管理规定》和《处方管理办法》等法律法规的有关规定，诚信经营。</w:t>
            </w:r>
          </w:p>
          <w:p>
            <w:pPr>
              <w:autoSpaceDE w:val="0"/>
              <w:autoSpaceDN w:val="0"/>
              <w:spacing w:line="360" w:lineRule="exact"/>
              <w:jc w:val="left"/>
              <w:rPr>
                <w:rFonts w:hint="eastAsia" w:ascii="宋体" w:hAnsi="宋体" w:cs="宋体"/>
              </w:rPr>
            </w:pPr>
            <w:r>
              <w:rPr>
                <w:rFonts w:hint="eastAsia" w:ascii="宋体" w:hAnsi="宋体" w:cs="宋体"/>
              </w:rPr>
              <w:t>2.中标人在保证药品质量、执行国家物价的前提下按约定的药品品种、剂型、规格、数量、价格、供货方式等供货，</w:t>
            </w:r>
            <w:r>
              <w:rPr>
                <w:rFonts w:hint="eastAsia" w:ascii="宋体" w:hAnsi="宋体" w:cs="Arial"/>
                <w:szCs w:val="21"/>
              </w:rPr>
              <w:t>承诺按照合同价为采购人供货，</w:t>
            </w:r>
            <w:r>
              <w:rPr>
                <w:rFonts w:hint="eastAsia" w:ascii="宋体" w:hAnsi="宋体" w:cs="宋体"/>
              </w:rPr>
              <w:t>保证临床用药不断档，结算以医院实际用量为准。</w:t>
            </w:r>
          </w:p>
          <w:p>
            <w:pPr>
              <w:autoSpaceDE w:val="0"/>
              <w:autoSpaceDN w:val="0"/>
              <w:spacing w:line="360" w:lineRule="exact"/>
              <w:jc w:val="left"/>
              <w:rPr>
                <w:rFonts w:hint="eastAsia" w:ascii="宋体" w:hAnsi="宋体" w:cs="宋体"/>
              </w:rPr>
            </w:pPr>
            <w:r>
              <w:rPr>
                <w:rFonts w:hint="eastAsia" w:ascii="宋体" w:hAnsi="宋体" w:cs="宋体"/>
              </w:rPr>
              <w:t>3.中标人必须保证产品齐全，不得以任何借口（如无货，采购量少等）不执行医院药品采购计划。</w:t>
            </w:r>
          </w:p>
          <w:p>
            <w:pPr>
              <w:autoSpaceDE w:val="0"/>
              <w:autoSpaceDN w:val="0"/>
              <w:spacing w:line="360" w:lineRule="exact"/>
              <w:jc w:val="left"/>
              <w:rPr>
                <w:rFonts w:hint="eastAsia" w:ascii="宋体" w:hAnsi="宋体" w:cs="宋体"/>
              </w:rPr>
            </w:pPr>
            <w:r>
              <w:rPr>
                <w:rFonts w:hint="eastAsia" w:ascii="宋体" w:hAnsi="宋体" w:cs="宋体"/>
              </w:rPr>
              <w:t>4.合同执行过程中如遇国家政策调整或与行政主管部门出台的规定相抵触，按国家相关规定执行。其他未尽事宜双方协商解决。</w:t>
            </w:r>
          </w:p>
          <w:p>
            <w:pPr>
              <w:autoSpaceDE w:val="0"/>
              <w:autoSpaceDN w:val="0"/>
              <w:spacing w:line="360" w:lineRule="exact"/>
              <w:jc w:val="left"/>
              <w:rPr>
                <w:rFonts w:hint="eastAsia" w:ascii="宋体" w:hAnsi="宋体" w:cs="宋体"/>
              </w:rPr>
            </w:pPr>
            <w:r>
              <w:rPr>
                <w:rFonts w:hint="eastAsia" w:ascii="宋体" w:hAnsi="宋体" w:cs="宋体"/>
              </w:rPr>
              <w:t>5.中标人应利用现代医药物流信息技术和相关设施设备为采购人提供物流配送、药房管理及相关增值服务，保障采购人药品供应，提供药房管理水平的整体服务和解决方案。</w:t>
            </w:r>
          </w:p>
          <w:p>
            <w:pPr>
              <w:autoSpaceDE w:val="0"/>
              <w:autoSpaceDN w:val="0"/>
              <w:spacing w:line="360" w:lineRule="exact"/>
              <w:jc w:val="left"/>
              <w:rPr>
                <w:rFonts w:hint="eastAsia" w:ascii="宋体" w:hAnsi="宋体" w:cs="宋体"/>
              </w:rPr>
            </w:pPr>
            <w:r>
              <w:rPr>
                <w:rFonts w:hint="eastAsia" w:ascii="宋体" w:hAnsi="宋体" w:cs="宋体"/>
              </w:rPr>
              <w:t>（六）中药配方颗粒智能调配系统</w:t>
            </w:r>
            <w:r>
              <w:rPr>
                <w:rFonts w:hint="eastAsia" w:ascii="宋体" w:hAnsi="宋体" w:cs="宋体"/>
                <w:szCs w:val="21"/>
              </w:rPr>
              <w:t>技术</w:t>
            </w:r>
            <w:r>
              <w:rPr>
                <w:rFonts w:hint="eastAsia" w:ascii="宋体" w:hAnsi="宋体" w:cs="宋体"/>
              </w:rPr>
              <w:t>参数要求</w:t>
            </w:r>
          </w:p>
          <w:p>
            <w:pPr>
              <w:autoSpaceDE w:val="0"/>
              <w:autoSpaceDN w:val="0"/>
              <w:spacing w:line="360" w:lineRule="exact"/>
              <w:jc w:val="left"/>
              <w:rPr>
                <w:rFonts w:hint="eastAsia" w:ascii="宋体" w:hAnsi="宋体" w:cs="宋体"/>
              </w:rPr>
            </w:pPr>
            <w:r>
              <w:rPr>
                <w:rFonts w:hint="eastAsia" w:ascii="宋体" w:hAnsi="宋体" w:cs="宋体"/>
              </w:rPr>
              <w:t>1.体积小容量大：一套系统有药品储存柜、药材及配药台、混合及包装机，设备占地小于8平方米。</w:t>
            </w:r>
          </w:p>
          <w:p>
            <w:pPr>
              <w:autoSpaceDE w:val="0"/>
              <w:autoSpaceDN w:val="0"/>
              <w:spacing w:line="360" w:lineRule="exact"/>
              <w:jc w:val="left"/>
              <w:rPr>
                <w:rFonts w:hint="eastAsia" w:ascii="宋体" w:hAnsi="宋体" w:cs="宋体"/>
              </w:rPr>
            </w:pPr>
            <w:r>
              <w:rPr>
                <w:rFonts w:hint="eastAsia" w:ascii="宋体" w:hAnsi="宋体" w:cs="宋体"/>
              </w:rPr>
              <w:t>2.涵盖药品调剂、混合、分包、储存等功能，以及强大的计算机药房管理软件系统。</w:t>
            </w:r>
          </w:p>
          <w:p>
            <w:pPr>
              <w:autoSpaceDE w:val="0"/>
              <w:autoSpaceDN w:val="0"/>
              <w:spacing w:line="360" w:lineRule="exact"/>
              <w:jc w:val="left"/>
              <w:rPr>
                <w:rFonts w:hint="eastAsia" w:ascii="宋体" w:hAnsi="宋体" w:cs="宋体"/>
              </w:rPr>
            </w:pPr>
            <w:r>
              <w:rPr>
                <w:rFonts w:hint="eastAsia" w:ascii="宋体" w:hAnsi="宋体" w:cs="宋体"/>
              </w:rPr>
              <w:t>3.安装、组合灵活。</w:t>
            </w:r>
          </w:p>
          <w:p>
            <w:pPr>
              <w:autoSpaceDE w:val="0"/>
              <w:autoSpaceDN w:val="0"/>
              <w:spacing w:line="360" w:lineRule="exact"/>
              <w:jc w:val="left"/>
              <w:rPr>
                <w:rFonts w:hint="eastAsia" w:ascii="宋体" w:hAnsi="宋体" w:cs="宋体"/>
              </w:rPr>
            </w:pPr>
            <w:r>
              <w:rPr>
                <w:rFonts w:hint="eastAsia" w:ascii="宋体" w:hAnsi="宋体" w:cs="宋体"/>
              </w:rPr>
              <w:t>4.进入智能调配系统的每个品种都有单独的条形码</w:t>
            </w:r>
            <w:r>
              <w:rPr>
                <w:rFonts w:hint="eastAsia" w:ascii="宋体" w:hAnsi="宋体" w:cs="宋体"/>
                <w:lang w:eastAsia="zh-CN"/>
              </w:rPr>
              <w:t>，</w:t>
            </w:r>
            <w:r>
              <w:rPr>
                <w:rFonts w:hint="eastAsia" w:ascii="宋体" w:hAnsi="宋体" w:eastAsia="宋体" w:cs="宋体"/>
                <w:sz w:val="21"/>
                <w:szCs w:val="21"/>
              </w:rPr>
              <w:t>药柜具有显示定位功能（快速寻找颗粒位置）</w:t>
            </w:r>
            <w:r>
              <w:rPr>
                <w:rFonts w:hint="eastAsia" w:ascii="宋体" w:hAnsi="宋体" w:cs="宋体"/>
              </w:rPr>
              <w:t>。</w:t>
            </w:r>
          </w:p>
          <w:p>
            <w:pPr>
              <w:autoSpaceDE w:val="0"/>
              <w:autoSpaceDN w:val="0"/>
              <w:spacing w:line="360" w:lineRule="exact"/>
              <w:jc w:val="left"/>
              <w:rPr>
                <w:rFonts w:hint="eastAsia" w:ascii="宋体" w:hAnsi="宋体" w:cs="宋体"/>
              </w:rPr>
            </w:pPr>
            <w:r>
              <w:rPr>
                <w:rFonts w:hint="eastAsia" w:ascii="宋体" w:hAnsi="宋体" w:cs="宋体"/>
              </w:rPr>
              <w:t>5.智能调配系统已对每一个中药品种饮片与配方颗粒的比例锁定，医师可按各个病人的需要开出中药饮片处方，系统就能自动把处方中的每一味中药饮片的重量转换为颗粒的重量进行配药。</w:t>
            </w:r>
          </w:p>
          <w:p>
            <w:pPr>
              <w:autoSpaceDE w:val="0"/>
              <w:autoSpaceDN w:val="0"/>
              <w:spacing w:line="360" w:lineRule="exact"/>
              <w:jc w:val="left"/>
              <w:rPr>
                <w:rFonts w:hint="eastAsia" w:ascii="宋体" w:hAnsi="宋体" w:cs="宋体"/>
              </w:rPr>
            </w:pPr>
            <w:r>
              <w:rPr>
                <w:rFonts w:hint="eastAsia" w:ascii="宋体" w:hAnsi="宋体" w:cs="宋体"/>
              </w:rPr>
              <w:t>6.按治疗方案自动分包：系统可以按医生要求将每剂药分包成需要的数量，忠实执行医师的治疗方案。</w:t>
            </w:r>
          </w:p>
          <w:p>
            <w:pPr>
              <w:autoSpaceDE w:val="0"/>
              <w:autoSpaceDN w:val="0"/>
              <w:spacing w:line="360" w:lineRule="exact"/>
              <w:jc w:val="left"/>
              <w:rPr>
                <w:rFonts w:hint="eastAsia" w:ascii="宋体" w:hAnsi="宋体" w:cs="宋体"/>
              </w:rPr>
            </w:pPr>
            <w:r>
              <w:rPr>
                <w:rFonts w:hint="eastAsia" w:ascii="宋体" w:hAnsi="宋体" w:cs="宋体"/>
              </w:rPr>
              <w:t>7.药品调配准确：连接条形码扫瞄仪，由系统计算机核对调配药品，确保处方药品种类正确。</w:t>
            </w:r>
          </w:p>
          <w:p>
            <w:pPr>
              <w:autoSpaceDE w:val="0"/>
              <w:autoSpaceDN w:val="0"/>
              <w:spacing w:line="360" w:lineRule="exact"/>
              <w:jc w:val="left"/>
              <w:rPr>
                <w:rFonts w:hint="eastAsia" w:ascii="宋体" w:hAnsi="宋体" w:cs="宋体"/>
              </w:rPr>
            </w:pPr>
            <w:r>
              <w:rPr>
                <w:rFonts w:hint="eastAsia" w:ascii="宋体" w:hAnsi="宋体" w:cs="宋体"/>
              </w:rPr>
              <w:t>8.称量准确：系统电子称连接计算机，确保处方药品调配量正确，电子秤精确度0.05g</w:t>
            </w:r>
            <w:r>
              <w:rPr>
                <w:rFonts w:hint="eastAsia" w:ascii="宋体" w:hAnsi="宋体" w:cs="宋体"/>
                <w:lang w:eastAsia="zh-CN"/>
              </w:rPr>
              <w:t>，</w:t>
            </w:r>
            <w:r>
              <w:rPr>
                <w:rFonts w:hint="eastAsia" w:ascii="宋体" w:hAnsi="宋体" w:eastAsia="宋体" w:cs="宋体"/>
                <w:sz w:val="21"/>
                <w:szCs w:val="21"/>
              </w:rPr>
              <w:t>自动调剂、封装（调剂完后药盒直接自动封口，无需手动）</w:t>
            </w:r>
            <w:r>
              <w:rPr>
                <w:rFonts w:hint="eastAsia" w:ascii="宋体" w:hAnsi="宋体" w:cs="宋体"/>
              </w:rPr>
              <w:t>。</w:t>
            </w:r>
          </w:p>
          <w:p>
            <w:pPr>
              <w:autoSpaceDE w:val="0"/>
              <w:autoSpaceDN w:val="0"/>
              <w:spacing w:line="360" w:lineRule="exact"/>
              <w:jc w:val="left"/>
              <w:rPr>
                <w:rFonts w:hint="eastAsia" w:ascii="宋体" w:hAnsi="宋体" w:cs="宋体"/>
              </w:rPr>
            </w:pPr>
            <w:r>
              <w:rPr>
                <w:rFonts w:hint="eastAsia" w:ascii="宋体" w:hAnsi="宋体" w:cs="宋体"/>
              </w:rPr>
              <w:t>9.工作效率高：智能调配系统可连接医院信息系统（HIS），便于采购人实现全面信息化管理</w:t>
            </w:r>
            <w:r>
              <w:rPr>
                <w:rFonts w:hint="eastAsia" w:ascii="宋体" w:hAnsi="宋体" w:cs="宋体"/>
                <w:lang w:eastAsia="zh-CN"/>
              </w:rPr>
              <w:t>，</w:t>
            </w:r>
            <w:r>
              <w:rPr>
                <w:rFonts w:hint="eastAsia" w:ascii="宋体" w:hAnsi="宋体" w:eastAsia="宋体" w:cs="宋体"/>
                <w:sz w:val="21"/>
                <w:szCs w:val="21"/>
              </w:rPr>
              <w:t>多工位调配设备（入药孔数≥</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cs="宋体"/>
              </w:rPr>
              <w:t>。</w:t>
            </w:r>
          </w:p>
          <w:p>
            <w:pPr>
              <w:autoSpaceDE w:val="0"/>
              <w:autoSpaceDN w:val="0"/>
              <w:spacing w:line="360" w:lineRule="exact"/>
              <w:jc w:val="left"/>
              <w:rPr>
                <w:rFonts w:hint="eastAsia" w:ascii="宋体" w:hAnsi="宋体" w:cs="宋体"/>
              </w:rPr>
            </w:pPr>
            <w:r>
              <w:rPr>
                <w:rFonts w:hint="eastAsia" w:ascii="宋体" w:hAnsi="宋体" w:cs="宋体"/>
              </w:rPr>
              <w:t>10.药房营运管理方便：系统可提供药品入库、处方管理、药房盘点、</w:t>
            </w:r>
            <w:r>
              <w:rPr>
                <w:rFonts w:hint="eastAsia" w:ascii="宋体" w:hAnsi="宋体" w:eastAsia="宋体" w:cs="宋体"/>
                <w:sz w:val="21"/>
                <w:szCs w:val="21"/>
              </w:rPr>
              <w:t>库存</w:t>
            </w:r>
            <w:r>
              <w:rPr>
                <w:rFonts w:hint="eastAsia" w:ascii="宋体" w:hAnsi="宋体" w:cs="宋体"/>
              </w:rPr>
              <w:t>报告</w:t>
            </w:r>
            <w:r>
              <w:rPr>
                <w:rFonts w:hint="eastAsia" w:ascii="宋体" w:hAnsi="宋体" w:eastAsia="宋体" w:cs="宋体"/>
                <w:sz w:val="21"/>
                <w:szCs w:val="21"/>
              </w:rPr>
              <w:t>管理功能（及时掌握颗粒使用情况）</w:t>
            </w:r>
            <w:r>
              <w:rPr>
                <w:rFonts w:hint="eastAsia" w:ascii="宋体" w:hAnsi="宋体" w:cs="宋体"/>
              </w:rPr>
              <w:t>等。</w:t>
            </w:r>
          </w:p>
          <w:p>
            <w:pPr>
              <w:autoSpaceDE w:val="0"/>
              <w:autoSpaceDN w:val="0"/>
              <w:spacing w:line="360" w:lineRule="exact"/>
              <w:jc w:val="left"/>
              <w:rPr>
                <w:rFonts w:hint="eastAsia" w:ascii="宋体" w:hAnsi="宋体" w:cs="宋体"/>
              </w:rPr>
            </w:pPr>
            <w:r>
              <w:rPr>
                <w:rFonts w:hint="eastAsia" w:ascii="宋体" w:hAnsi="宋体" w:cs="宋体"/>
              </w:rPr>
              <w:t>11.处方配药安全性高：该系统可完整记录调配处方的信息，处方调配可全程追溯</w:t>
            </w:r>
            <w:r>
              <w:rPr>
                <w:rFonts w:hint="eastAsia" w:ascii="宋体" w:hAnsi="宋体" w:cs="宋体"/>
                <w:lang w:eastAsia="zh-CN"/>
              </w:rPr>
              <w:t>，</w:t>
            </w:r>
            <w:r>
              <w:rPr>
                <w:rFonts w:hint="eastAsia" w:ascii="宋体" w:hAnsi="宋体" w:eastAsia="宋体" w:cs="宋体"/>
                <w:sz w:val="21"/>
                <w:szCs w:val="21"/>
              </w:rPr>
              <w:t>具有处方电子审查功能（有配伍禁忌、超剂量等提示）</w:t>
            </w:r>
            <w:r>
              <w:rPr>
                <w:rFonts w:hint="eastAsia" w:ascii="宋体" w:hAnsi="宋体" w:cs="宋体"/>
              </w:rPr>
              <w:t>。</w:t>
            </w:r>
          </w:p>
          <w:p>
            <w:pPr>
              <w:pStyle w:val="14"/>
              <w:spacing w:line="360" w:lineRule="auto"/>
              <w:rPr>
                <w:rFonts w:hint="eastAsia" w:ascii="宋体" w:hAnsi="宋体" w:cs="Arial"/>
                <w:szCs w:val="21"/>
              </w:rPr>
            </w:pPr>
            <w:r>
              <w:rPr>
                <w:rFonts w:hint="eastAsia" w:ascii="宋体" w:hAnsi="宋体" w:cs="宋体"/>
              </w:rPr>
              <w:t>12.系统平台配药干净整洁，有避免处方之间交叉污染，保证配药用药的安全性。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53"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b/>
                <w:bCs/>
                <w:szCs w:val="21"/>
              </w:rPr>
            </w:pPr>
            <w:r>
              <w:rPr>
                <w:rFonts w:hint="eastAsia" w:ascii="宋体" w:hAnsi="宋体"/>
                <w:b/>
                <w:szCs w:val="21"/>
              </w:rPr>
              <w:t>一、商务要求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b/>
                <w:szCs w:val="21"/>
              </w:rPr>
            </w:pPr>
            <w:r>
              <w:rPr>
                <w:rFonts w:hint="eastAsia" w:ascii="宋体" w:hAnsi="宋体" w:eastAsia="宋体" w:cs="宋体"/>
                <w:color w:val="000000"/>
                <w:kern w:val="0"/>
                <w:sz w:val="20"/>
                <w:szCs w:val="20"/>
                <w:lang w:val="en-US" w:eastAsia="zh-CN" w:bidi="ar"/>
              </w:rPr>
              <w:t>投标人资格要求</w:t>
            </w:r>
          </w:p>
        </w:tc>
        <w:tc>
          <w:tcPr>
            <w:tcW w:w="766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、国内注册（指按国家有关规定要求注册的）生产或注册经营范围达到本次招标服务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采购要求，符合《中华人民共和国政府采购法》第二十二条的规定，并在人员、设备、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资金等方面具备承担本次采购服务项的企事业单位。 </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 xml:space="preserve">、投标人须具有《药品生产许可证》、《GMP 认证证书》(投标时须提供复印件)。 </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 xml:space="preserve">、投标人在参加本项投标活动的最近三年内，在经营活动中无严重违法记录。 </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4</w:t>
            </w:r>
            <w:r>
              <w:rPr>
                <w:rFonts w:hint="eastAsia" w:ascii="宋体" w:hAnsi="宋体" w:eastAsia="宋体" w:cs="宋体"/>
                <w:color w:val="000000"/>
                <w:kern w:val="0"/>
                <w:sz w:val="20"/>
                <w:szCs w:val="20"/>
                <w:lang w:val="en-US" w:eastAsia="zh-CN" w:bidi="ar"/>
              </w:rPr>
              <w:t xml:space="preserve">、单位负责人为同一人或者存在直接控股、管理关系的不同供应商，不得参加同一合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同项下的投标活动。除单一来源采购项目外，为采购项目提供整体设计、规范编制或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者项目管理、监理、检测等服务的供应商，不得再参加该采购项目的其他投标活动。 </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5</w:t>
            </w:r>
            <w:r>
              <w:rPr>
                <w:rFonts w:hint="eastAsia" w:ascii="宋体" w:hAnsi="宋体" w:eastAsia="宋体" w:cs="宋体"/>
                <w:color w:val="000000"/>
                <w:kern w:val="0"/>
                <w:sz w:val="20"/>
                <w:szCs w:val="20"/>
                <w:lang w:val="en-US" w:eastAsia="zh-CN" w:bidi="ar"/>
              </w:rPr>
              <w:t xml:space="preserve">、本项目不接受联合体投标。 </w:t>
            </w:r>
          </w:p>
          <w:p>
            <w:pPr>
              <w:keepNext w:val="0"/>
              <w:keepLines w:val="0"/>
              <w:widowControl/>
              <w:suppressLineNumbers w:val="0"/>
              <w:jc w:val="left"/>
            </w:pPr>
            <w:r>
              <w:rPr>
                <w:rFonts w:hint="default" w:ascii="Times New Roman" w:hAnsi="Times New Roman" w:eastAsia="宋体" w:cs="Times New Roman"/>
                <w:color w:val="000000"/>
                <w:kern w:val="0"/>
                <w:sz w:val="20"/>
                <w:szCs w:val="20"/>
                <w:lang w:val="en-US" w:eastAsia="zh-CN" w:bidi="ar"/>
              </w:rPr>
              <w:t>6</w:t>
            </w:r>
            <w:r>
              <w:rPr>
                <w:rFonts w:hint="eastAsia" w:ascii="宋体" w:hAnsi="宋体" w:eastAsia="宋体" w:cs="宋体"/>
                <w:color w:val="000000"/>
                <w:kern w:val="0"/>
                <w:sz w:val="20"/>
                <w:szCs w:val="20"/>
                <w:lang w:val="en-US" w:eastAsia="zh-CN" w:bidi="ar"/>
              </w:rPr>
              <w:t xml:space="preserve">、被列入失信被执行人、重大税收违法案件当事人名单、政府采购严重违法失信行为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记录名单及其他不符合《中华人民共和国政府采购法》第二十二条规定条件的供应商，</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将被拒绝其参与本次投标活动。供应商可在“信用中国”网站（</w:t>
            </w:r>
            <w:r>
              <w:rPr>
                <w:rFonts w:hint="default" w:ascii="Times New Roman" w:hAnsi="Times New Roman" w:eastAsia="宋体" w:cs="Times New Roman"/>
                <w:color w:val="000000"/>
                <w:kern w:val="0"/>
                <w:sz w:val="20"/>
                <w:szCs w:val="20"/>
                <w:lang w:val="en-US" w:eastAsia="zh-CN" w:bidi="ar"/>
              </w:rPr>
              <w:t>www.creditchina.gov.cn</w:t>
            </w:r>
            <w:r>
              <w:rPr>
                <w:rFonts w:hint="eastAsia" w:ascii="宋体" w:hAnsi="宋体" w:eastAsia="宋体" w:cs="宋体"/>
                <w:color w:val="000000"/>
                <w:kern w:val="0"/>
                <w:sz w:val="20"/>
                <w:szCs w:val="20"/>
                <w:lang w:val="en-US" w:eastAsia="zh-CN" w:bidi="ar"/>
              </w:rPr>
              <w:t xml:space="preserve">）、 </w:t>
            </w:r>
          </w:p>
          <w:p>
            <w:pPr>
              <w:keepNext w:val="0"/>
              <w:keepLines w:val="0"/>
              <w:widowControl/>
              <w:suppressLineNumbers w:val="0"/>
              <w:jc w:val="left"/>
              <w:rPr>
                <w:rFonts w:ascii="宋体" w:hAnsi="宋体"/>
                <w:b/>
                <w:szCs w:val="21"/>
              </w:rPr>
            </w:pPr>
            <w:r>
              <w:rPr>
                <w:rFonts w:hint="eastAsia" w:ascii="宋体" w:hAnsi="宋体" w:eastAsia="宋体" w:cs="宋体"/>
                <w:color w:val="000000"/>
                <w:kern w:val="0"/>
                <w:sz w:val="20"/>
                <w:szCs w:val="20"/>
                <w:lang w:val="en-US" w:eastAsia="zh-CN" w:bidi="ar"/>
              </w:rPr>
              <w:t>中国政府采购网（</w:t>
            </w:r>
            <w:r>
              <w:rPr>
                <w:rFonts w:hint="default" w:ascii="Times New Roman" w:hAnsi="Times New Roman" w:eastAsia="宋体" w:cs="Times New Roman"/>
                <w:color w:val="000000"/>
                <w:kern w:val="0"/>
                <w:sz w:val="20"/>
                <w:szCs w:val="20"/>
                <w:lang w:val="en-US" w:eastAsia="zh-CN" w:bidi="ar"/>
              </w:rPr>
              <w:t>www.ccgp.gov.cn</w:t>
            </w:r>
            <w:r>
              <w:rPr>
                <w:rFonts w:hint="eastAsia" w:ascii="宋体" w:hAnsi="宋体" w:eastAsia="宋体" w:cs="宋体"/>
                <w:color w:val="000000"/>
                <w:kern w:val="0"/>
                <w:sz w:val="20"/>
                <w:szCs w:val="20"/>
                <w:lang w:val="en-US" w:eastAsia="zh-CN" w:bidi="ar"/>
              </w:rPr>
              <w:t>）查询相关供应商主体信用记录。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Theme="minorEastAsia" w:cstheme="minorBidi"/>
                <w:b/>
                <w:kern w:val="2"/>
                <w:sz w:val="21"/>
                <w:szCs w:val="21"/>
                <w:lang w:val="en-US" w:eastAsia="zh-CN" w:bidi="ar-SA"/>
              </w:rPr>
            </w:pPr>
            <w:r>
              <w:rPr>
                <w:rFonts w:hint="eastAsia" w:ascii="宋体" w:hAnsi="宋体"/>
                <w:szCs w:val="21"/>
              </w:rPr>
              <w:t>▲</w:t>
            </w:r>
            <w:r>
              <w:rPr>
                <w:rFonts w:hint="eastAsia" w:ascii="宋体" w:hAnsi="宋体" w:cs="宋体"/>
                <w:szCs w:val="21"/>
              </w:rPr>
              <w:t>交付（实施）的时间（期限）和地点（范围）</w:t>
            </w:r>
          </w:p>
        </w:tc>
        <w:tc>
          <w:tcPr>
            <w:tcW w:w="7662"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ind w:left="315" w:hanging="315" w:hangingChars="150"/>
              <w:rPr>
                <w:rFonts w:ascii="宋体" w:hAnsi="宋体"/>
                <w:szCs w:val="21"/>
              </w:rPr>
            </w:pPr>
            <w:r>
              <w:rPr>
                <w:rFonts w:hint="eastAsia" w:ascii="宋体" w:hAnsi="宋体"/>
                <w:szCs w:val="21"/>
              </w:rPr>
              <w:t>1、服务期限：自签订合同之日起</w:t>
            </w:r>
            <w:r>
              <w:rPr>
                <w:rFonts w:ascii="宋体" w:hAnsi="宋体"/>
                <w:szCs w:val="21"/>
              </w:rPr>
              <w:t>36</w:t>
            </w:r>
            <w:r>
              <w:rPr>
                <w:rFonts w:hint="eastAsia" w:ascii="宋体" w:hAnsi="宋体"/>
                <w:szCs w:val="21"/>
              </w:rPr>
              <w:t>个月。</w:t>
            </w:r>
          </w:p>
          <w:p>
            <w:pPr>
              <w:spacing w:line="360" w:lineRule="auto"/>
              <w:rPr>
                <w:rFonts w:hint="eastAsia" w:ascii="宋体" w:hAnsi="宋体" w:eastAsiaTheme="minorEastAsia" w:cstheme="minorBidi"/>
                <w:b/>
                <w:kern w:val="2"/>
                <w:sz w:val="21"/>
                <w:szCs w:val="21"/>
                <w:lang w:val="en-US" w:eastAsia="zh-CN" w:bidi="ar-SA"/>
              </w:rPr>
            </w:pPr>
            <w:r>
              <w:rPr>
                <w:rFonts w:hint="eastAsia" w:ascii="宋体" w:hAnsi="宋体"/>
                <w:szCs w:val="21"/>
              </w:rPr>
              <w:t>2、交货地点：采购人指定地点。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hint="eastAsia" w:ascii="宋体" w:hAnsi="宋体"/>
                <w:szCs w:val="21"/>
              </w:rPr>
              <w:t>▲付款条件（进度和方式）</w:t>
            </w:r>
          </w:p>
        </w:tc>
        <w:tc>
          <w:tcPr>
            <w:tcW w:w="7662"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szCs w:val="21"/>
              </w:rPr>
            </w:pPr>
            <w:r>
              <w:rPr>
                <w:rFonts w:hint="eastAsia" w:ascii="宋体" w:hAnsi="宋体"/>
                <w:szCs w:val="21"/>
              </w:rPr>
              <w:t>1、采购服务周期：</w:t>
            </w:r>
            <w:r>
              <w:rPr>
                <w:rFonts w:ascii="宋体" w:hAnsi="宋体"/>
                <w:szCs w:val="21"/>
              </w:rPr>
              <w:t>36</w:t>
            </w:r>
            <w:r>
              <w:rPr>
                <w:rFonts w:hint="eastAsia" w:ascii="宋体" w:hAnsi="宋体"/>
                <w:szCs w:val="21"/>
              </w:rPr>
              <w:t>个月，采购合同一年一签，每年合同到期前3个月，采购人对中标人从供货情况、中药配方颗粒质量、伴随服务等方面进行评分，若低于80分，采购人有权终止合同重新招标；若中标人合同履行期间存在违法乱纪、或不诚信行为、或违约行为的，采购人有权终止合同。</w:t>
            </w:r>
          </w:p>
          <w:p>
            <w:pPr>
              <w:spacing w:line="360" w:lineRule="auto"/>
              <w:rPr>
                <w:rFonts w:ascii="宋体" w:hAnsi="宋体"/>
                <w:b/>
                <w:szCs w:val="21"/>
              </w:rPr>
            </w:pPr>
            <w:r>
              <w:rPr>
                <w:rFonts w:hint="eastAsia" w:ascii="宋体" w:hAnsi="宋体"/>
                <w:szCs w:val="21"/>
              </w:rPr>
              <w:t>2、发货时间：按采购人订单供货。中标人接到采购人订单后2日内将所需货物备好并发出。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▲付款方式</w:t>
            </w:r>
          </w:p>
        </w:tc>
        <w:tc>
          <w:tcPr>
            <w:tcW w:w="7662" w:type="dxa"/>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宋体" w:hAnsi="宋体"/>
                <w:color w:val="FF0000"/>
                <w:szCs w:val="21"/>
              </w:rPr>
            </w:pPr>
            <w:r>
              <w:rPr>
                <w:rFonts w:hint="eastAsia" w:ascii="宋体" w:hAnsi="宋体"/>
                <w:color w:val="auto"/>
                <w:szCs w:val="21"/>
              </w:rPr>
              <w:t>本项目无预付款，根据供货品种的数量乘以单价计算出核算总额，</w:t>
            </w:r>
            <w:r>
              <w:rPr>
                <w:rFonts w:hint="eastAsia" w:ascii="宋体" w:hAnsi="宋体" w:cs="宋体"/>
                <w:color w:val="auto"/>
                <w:kern w:val="0"/>
                <w:szCs w:val="21"/>
              </w:rPr>
              <w:t>货物交货验收及计量检定合格或校准符合后，甲方向乙方支付当期货款，乙方每次收款前应向甲方出具等额有效的增值税普通发票。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hint="eastAsia" w:ascii="宋体" w:hAnsi="宋体"/>
                <w:szCs w:val="21"/>
              </w:rPr>
              <w:t>售后服务</w:t>
            </w:r>
          </w:p>
        </w:tc>
        <w:tc>
          <w:tcPr>
            <w:tcW w:w="7662"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atLeast"/>
              <w:rPr>
                <w:rFonts w:hint="eastAsia" w:ascii="宋体" w:hAnsi="宋体"/>
                <w:szCs w:val="21"/>
              </w:rPr>
            </w:pPr>
            <w:r>
              <w:rPr>
                <w:rFonts w:hint="eastAsia" w:ascii="宋体" w:hAnsi="宋体"/>
                <w:szCs w:val="21"/>
              </w:rPr>
              <w:t>1、中标人应在货物发运前对其进行满足运输距离、防潮、防震和防破损装卸等要求包装，以保证货物安全运输；并按与采购人确定的运输方式将货物运送至采购人指定地点，相关费用由中标人承担。</w:t>
            </w:r>
          </w:p>
          <w:p>
            <w:pPr>
              <w:spacing w:line="340" w:lineRule="atLeast"/>
              <w:rPr>
                <w:rFonts w:hint="eastAsia" w:ascii="宋体" w:hAnsi="宋体"/>
                <w:szCs w:val="21"/>
              </w:rPr>
            </w:pPr>
            <w:r>
              <w:rPr>
                <w:rFonts w:hint="eastAsia" w:ascii="宋体" w:hAnsi="宋体"/>
                <w:szCs w:val="21"/>
              </w:rPr>
              <w:t>2、提供质量合格的配方颗粒，并按供货批次提供中药配方颗粒质量检验报告书。</w:t>
            </w:r>
          </w:p>
          <w:p>
            <w:pPr>
              <w:snapToGrid w:val="0"/>
              <w:spacing w:line="360" w:lineRule="exact"/>
              <w:rPr>
                <w:rFonts w:hint="eastAsia" w:ascii="宋体" w:hAnsi="宋体"/>
                <w:szCs w:val="21"/>
              </w:rPr>
            </w:pPr>
            <w:r>
              <w:rPr>
                <w:rFonts w:hint="eastAsia" w:ascii="宋体" w:hAnsi="宋体"/>
                <w:szCs w:val="21"/>
              </w:rPr>
              <w:t>3、中标人应根据采购人订单要求及时将货物送至采购人指定收货地点；若采购人订单所列品种中标人暂不能提供，中标人应在接单后24小时内及时通知采购人。</w:t>
            </w:r>
          </w:p>
          <w:p>
            <w:pPr>
              <w:snapToGrid w:val="0"/>
              <w:spacing w:line="360" w:lineRule="exact"/>
              <w:rPr>
                <w:rFonts w:hint="eastAsia" w:ascii="宋体" w:hAnsi="宋体"/>
                <w:szCs w:val="21"/>
              </w:rPr>
            </w:pPr>
            <w:r>
              <w:rPr>
                <w:rFonts w:hint="eastAsia" w:ascii="宋体" w:hAnsi="宋体"/>
                <w:szCs w:val="21"/>
              </w:rPr>
              <w:t>4、对于紧急药品须最快配送24小时完成，或按采购人时间要求完成。</w:t>
            </w:r>
          </w:p>
          <w:p>
            <w:pPr>
              <w:snapToGrid w:val="0"/>
              <w:spacing w:line="360" w:lineRule="exact"/>
              <w:rPr>
                <w:rFonts w:hint="eastAsia" w:ascii="宋体" w:hAnsi="宋体"/>
                <w:szCs w:val="21"/>
              </w:rPr>
            </w:pPr>
            <w:r>
              <w:rPr>
                <w:rFonts w:hint="eastAsia" w:ascii="宋体" w:hAnsi="宋体"/>
                <w:szCs w:val="21"/>
              </w:rPr>
              <w:t>5、药品在交付采购人前发生的风险均由中标人负责。</w:t>
            </w:r>
          </w:p>
          <w:p>
            <w:pPr>
              <w:snapToGrid w:val="0"/>
              <w:spacing w:line="360" w:lineRule="exact"/>
              <w:rPr>
                <w:rFonts w:hint="eastAsia" w:ascii="宋体" w:hAnsi="宋体"/>
                <w:szCs w:val="21"/>
              </w:rPr>
            </w:pPr>
            <w:r>
              <w:rPr>
                <w:rFonts w:hint="eastAsia" w:ascii="宋体" w:hAnsi="宋体"/>
                <w:szCs w:val="21"/>
              </w:rPr>
              <w:t>6、中标人提供的药品在质量保证期内，因设计、工艺或材料的缺陷和其它质量原因造成的问题（除患者自身保管不妥外），相关费用由中标人承担。</w:t>
            </w:r>
          </w:p>
          <w:p>
            <w:pPr>
              <w:spacing w:line="340" w:lineRule="atLeast"/>
              <w:rPr>
                <w:rFonts w:hint="eastAsia" w:ascii="宋体" w:hAnsi="宋体"/>
                <w:szCs w:val="21"/>
              </w:rPr>
            </w:pPr>
            <w:r>
              <w:rPr>
                <w:rFonts w:hint="eastAsia" w:ascii="宋体" w:hAnsi="宋体"/>
                <w:szCs w:val="21"/>
              </w:rPr>
              <w:t>7、在验收过程中发现中标人有违约问题的，采购人可暂缓资金结算，待违约问题解决后，方可办理资金结算事宜。</w:t>
            </w:r>
          </w:p>
          <w:p>
            <w:pPr>
              <w:spacing w:line="340" w:lineRule="atLeast"/>
              <w:rPr>
                <w:rFonts w:hint="eastAsia" w:ascii="宋体" w:hAnsi="宋体"/>
                <w:szCs w:val="21"/>
              </w:rPr>
            </w:pPr>
            <w:r>
              <w:rPr>
                <w:rFonts w:hint="eastAsia" w:ascii="宋体" w:hAnsi="宋体"/>
                <w:szCs w:val="21"/>
              </w:rPr>
              <w:t>8、接受采购人的临时抽检，检验样品由双方现场包装密封并签字，送有资质的相关部门检测，检测相关费用由中标人承担。</w:t>
            </w:r>
          </w:p>
          <w:p>
            <w:pPr>
              <w:spacing w:line="360" w:lineRule="auto"/>
              <w:rPr>
                <w:rFonts w:ascii="宋体" w:hAnsi="宋体"/>
                <w:szCs w:val="21"/>
              </w:rPr>
            </w:pPr>
            <w:r>
              <w:rPr>
                <w:rFonts w:hint="eastAsia" w:ascii="宋体" w:hAnsi="宋体"/>
                <w:szCs w:val="21"/>
              </w:rPr>
              <w:t>9、临近有效期药品中标人应无条件进行调换。年终盘点损耗由中标人自行承担。</w:t>
            </w:r>
          </w:p>
          <w:p>
            <w:pPr>
              <w:spacing w:line="360" w:lineRule="auto"/>
              <w:rPr>
                <w:rFonts w:ascii="宋体" w:hAnsi="宋体" w:cs="宋体"/>
                <w:lang w:bidi="ar"/>
              </w:rPr>
            </w:pPr>
            <w:r>
              <w:rPr>
                <w:rFonts w:hint="eastAsia" w:ascii="宋体" w:hAnsi="宋体"/>
                <w:szCs w:val="21"/>
              </w:rPr>
              <w:t>10、</w:t>
            </w:r>
            <w:r>
              <w:rPr>
                <w:rFonts w:hint="eastAsia" w:ascii="宋体" w:hAnsi="宋体" w:cs="宋体"/>
                <w:lang w:bidi="ar"/>
              </w:rPr>
              <w:t>安排固定人员进行质量跟踪服务。</w:t>
            </w:r>
          </w:p>
          <w:p>
            <w:pPr>
              <w:spacing w:line="360" w:lineRule="auto"/>
              <w:rPr>
                <w:rFonts w:hint="eastAsia" w:ascii="宋体" w:hAnsi="宋体" w:cs="宋体"/>
                <w:lang w:bidi="ar"/>
              </w:rPr>
            </w:pPr>
            <w:r>
              <w:rPr>
                <w:rFonts w:hint="eastAsia" w:ascii="宋体" w:hAnsi="宋体" w:cs="宋体"/>
                <w:lang w:bidi="ar"/>
              </w:rPr>
              <w:t>11、提供产品培训服务。</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12、 免费送货上门；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13、 能安排固定人员（中标人内部员工）在医院进行质量跟踪服务（须提供社保证明）。 </w:t>
            </w:r>
          </w:p>
          <w:p>
            <w:pPr>
              <w:keepNext w:val="0"/>
              <w:keepLines w:val="0"/>
              <w:widowControl/>
              <w:suppressLineNumbers w:val="0"/>
              <w:jc w:val="left"/>
              <w:rPr>
                <w:rFonts w:hint="eastAsia" w:ascii="宋体" w:hAnsi="宋体" w:cs="宋体"/>
                <w:lang w:bidi="ar"/>
              </w:rPr>
            </w:pPr>
            <w:r>
              <w:rPr>
                <w:rFonts w:hint="eastAsia" w:ascii="Times New Roman" w:hAnsi="Times New Roman" w:eastAsia="宋体" w:cs="Times New Roman"/>
                <w:color w:val="000000"/>
                <w:kern w:val="0"/>
                <w:sz w:val="20"/>
                <w:szCs w:val="20"/>
                <w:lang w:val="en-US" w:eastAsia="zh-CN" w:bidi="ar"/>
              </w:rPr>
              <w:t>14</w:t>
            </w:r>
            <w:r>
              <w:rPr>
                <w:rFonts w:hint="eastAsia" w:ascii="宋体" w:hAnsi="宋体" w:eastAsia="宋体" w:cs="宋体"/>
                <w:color w:val="000000"/>
                <w:kern w:val="0"/>
                <w:sz w:val="20"/>
                <w:szCs w:val="20"/>
                <w:lang w:val="en-US" w:eastAsia="zh-CN" w:bidi="ar"/>
              </w:rPr>
              <w:t>、 突发事件或紧急药品及使用科室应急药品随叫随送，超过时间采购方有权另找销售商自行采购（特殊情况另议）。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报价要求</w:t>
            </w:r>
          </w:p>
        </w:tc>
        <w:tc>
          <w:tcPr>
            <w:tcW w:w="7662"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atLeast"/>
              <w:rPr>
                <w:rFonts w:hint="eastAsia" w:ascii="宋体" w:hAnsi="宋体" w:eastAsiaTheme="minorEastAsia"/>
                <w:szCs w:val="21"/>
                <w:highlight w:val="none"/>
                <w:lang w:eastAsia="zh-CN"/>
              </w:rPr>
            </w:pPr>
            <w:r>
              <w:rPr>
                <w:rFonts w:hint="eastAsia" w:ascii="宋体" w:hAnsi="宋体"/>
                <w:szCs w:val="21"/>
              </w:rPr>
              <w:t>1、投标报价是履行合同的最终价格</w:t>
            </w:r>
            <w:r>
              <w:rPr>
                <w:rFonts w:hint="eastAsia" w:ascii="宋体" w:hAnsi="宋体"/>
                <w:szCs w:val="21"/>
                <w:highlight w:val="none"/>
              </w:rPr>
              <w:t>，</w:t>
            </w:r>
            <w:r>
              <w:rPr>
                <w:rFonts w:hint="eastAsia" w:ascii="宋体" w:hAnsi="宋体" w:eastAsia="宋体" w:cs="宋体"/>
                <w:bCs/>
                <w:sz w:val="21"/>
                <w:szCs w:val="21"/>
                <w:highlight w:val="none"/>
              </w:rPr>
              <w:t>统一按折合每克饮片报价。投标报价必须</w:t>
            </w:r>
            <w:r>
              <w:rPr>
                <w:rFonts w:hint="eastAsia" w:ascii="宋体" w:hAnsi="宋体"/>
                <w:szCs w:val="21"/>
                <w:highlight w:val="none"/>
              </w:rPr>
              <w:t>包含药品（含药方颗粒原材）、包装费、检测费、运输、保险、验收、售后服务、人员费用、调剂设备的投入、配发服务、中药房的设计及装修、培训、税金以及所有的不定因素的风险等，投标人报价时应考虑报价风险。</w:t>
            </w:r>
            <w:r>
              <w:rPr>
                <w:rFonts w:hint="eastAsia" w:ascii="宋体" w:hAnsi="宋体"/>
                <w:szCs w:val="21"/>
                <w:highlight w:val="none"/>
                <w:lang w:eastAsia="zh-CN"/>
              </w:rPr>
              <w:t>（不得漏项）</w:t>
            </w:r>
          </w:p>
          <w:p>
            <w:pPr>
              <w:spacing w:line="340" w:lineRule="atLeast"/>
              <w:rPr>
                <w:rFonts w:hint="eastAsia" w:ascii="宋体" w:hAnsi="宋体"/>
                <w:szCs w:val="21"/>
                <w:highlight w:val="none"/>
              </w:rPr>
            </w:pPr>
            <w:r>
              <w:rPr>
                <w:rFonts w:hint="eastAsia" w:ascii="宋体" w:hAnsi="宋体"/>
                <w:szCs w:val="21"/>
                <w:highlight w:val="none"/>
              </w:rPr>
              <w:t>2、合同履行过程中，中标人价目表不允许变动，若市场价格调整，双方协商解决。如遇国家政策调整或行政主管部门出台规定，采购人有权随时解除本项目合同，中标人应无条件执行。</w:t>
            </w:r>
          </w:p>
          <w:p>
            <w:pPr>
              <w:spacing w:line="340" w:lineRule="atLeast"/>
              <w:rPr>
                <w:rFonts w:hint="eastAsia" w:ascii="宋体" w:hAnsi="宋体"/>
                <w:szCs w:val="21"/>
                <w:highlight w:val="none"/>
              </w:rPr>
            </w:pPr>
            <w:r>
              <w:rPr>
                <w:rFonts w:hint="eastAsia" w:ascii="宋体" w:hAnsi="宋体"/>
                <w:szCs w:val="21"/>
                <w:highlight w:val="none"/>
              </w:rPr>
              <w:t>3、除现有国标品种外，新增品种价格需与医院沟通，达成一致后方可供货。</w:t>
            </w:r>
          </w:p>
          <w:p>
            <w:pPr>
              <w:tabs>
                <w:tab w:val="left" w:pos="180"/>
                <w:tab w:val="left" w:pos="1620"/>
              </w:tabs>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4、投标人的报价不得高于广西区内三级甲等医院的供应价格。</w:t>
            </w:r>
          </w:p>
          <w:p>
            <w:pPr>
              <w:tabs>
                <w:tab w:val="left" w:pos="180"/>
                <w:tab w:val="left" w:pos="1620"/>
              </w:tabs>
              <w:spacing w:line="360" w:lineRule="auto"/>
              <w:rPr>
                <w:rFonts w:hint="eastAsia" w:ascii="宋体" w:hAnsi="宋体"/>
                <w:szCs w:val="21"/>
              </w:rPr>
            </w:pPr>
            <w:r>
              <w:rPr>
                <w:rFonts w:hint="eastAsia" w:ascii="宋体" w:hAnsi="宋体" w:eastAsia="宋体" w:cs="宋体"/>
                <w:bCs/>
                <w:sz w:val="21"/>
                <w:szCs w:val="21"/>
                <w:highlight w:val="none"/>
              </w:rPr>
              <w:t>5、 该投标报价为按折合每克饮片的报价，供货时，中标供应商按其中药颗粒剂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项目验收</w:t>
            </w:r>
          </w:p>
          <w:p>
            <w:pPr>
              <w:spacing w:line="360" w:lineRule="auto"/>
              <w:jc w:val="center"/>
              <w:rPr>
                <w:rFonts w:hint="eastAsia" w:ascii="宋体" w:hAnsi="宋体"/>
                <w:szCs w:val="21"/>
              </w:rPr>
            </w:pPr>
            <w:r>
              <w:rPr>
                <w:rFonts w:hint="eastAsia" w:ascii="宋体" w:hAnsi="宋体"/>
                <w:szCs w:val="21"/>
              </w:rPr>
              <w:t>及其他要求</w:t>
            </w:r>
          </w:p>
        </w:tc>
        <w:tc>
          <w:tcPr>
            <w:tcW w:w="766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s="宋体"/>
                <w:color w:val="auto"/>
                <w:kern w:val="0"/>
                <w:szCs w:val="21"/>
              </w:rPr>
            </w:pPr>
            <w:r>
              <w:rPr>
                <w:rFonts w:hint="eastAsia" w:ascii="宋体" w:hAnsi="宋体" w:eastAsia="宋体" w:cs="宋体"/>
                <w:color w:val="auto"/>
                <w:kern w:val="0"/>
                <w:sz w:val="20"/>
                <w:szCs w:val="20"/>
                <w:lang w:val="en-US" w:eastAsia="zh-CN" w:bidi="ar"/>
              </w:rPr>
              <w:t>（</w:t>
            </w:r>
            <w:r>
              <w:rPr>
                <w:rFonts w:hint="default" w:ascii="Times New Roman" w:hAnsi="Times New Roman" w:eastAsia="宋体" w:cs="Times New Roman"/>
                <w:color w:val="auto"/>
                <w:kern w:val="0"/>
                <w:sz w:val="20"/>
                <w:szCs w:val="20"/>
                <w:lang w:val="en-US" w:eastAsia="zh-CN" w:bidi="ar"/>
              </w:rPr>
              <w:t>1</w:t>
            </w:r>
            <w:r>
              <w:rPr>
                <w:rFonts w:hint="eastAsia" w:ascii="宋体" w:hAnsi="宋体" w:eastAsia="宋体" w:cs="宋体"/>
                <w:color w:val="auto"/>
                <w:kern w:val="0"/>
                <w:sz w:val="20"/>
                <w:szCs w:val="20"/>
                <w:lang w:val="en-US" w:eastAsia="zh-CN" w:bidi="ar"/>
              </w:rPr>
              <w:t>）</w:t>
            </w:r>
            <w:r>
              <w:rPr>
                <w:rFonts w:hint="eastAsia" w:ascii="宋体" w:hAnsi="宋体" w:cs="宋体"/>
                <w:color w:val="auto"/>
                <w:kern w:val="0"/>
                <w:szCs w:val="21"/>
              </w:rPr>
              <w:t>中标人在供货时须提供货物正规来源的证明材料，确保货物的质量符合国家、行业相关质量标准和交易合法。</w:t>
            </w:r>
          </w:p>
          <w:p>
            <w:pPr>
              <w:snapToGrid w:val="0"/>
              <w:spacing w:line="360" w:lineRule="exact"/>
              <w:rPr>
                <w:rFonts w:hint="eastAsia" w:ascii="宋体" w:hAnsi="宋体" w:cs="宋体"/>
                <w:color w:val="auto"/>
                <w:kern w:val="0"/>
                <w:szCs w:val="21"/>
              </w:rPr>
            </w:pPr>
            <w:r>
              <w:rPr>
                <w:rFonts w:hint="eastAsia" w:ascii="宋体" w:hAnsi="宋体" w:eastAsia="宋体" w:cs="宋体"/>
                <w:color w:val="auto"/>
                <w:kern w:val="0"/>
                <w:sz w:val="20"/>
                <w:szCs w:val="20"/>
                <w:lang w:val="en-US" w:eastAsia="zh-CN" w:bidi="ar"/>
              </w:rPr>
              <w:t>（</w:t>
            </w:r>
            <w:r>
              <w:rPr>
                <w:rFonts w:hint="default" w:ascii="Times New Roman" w:hAnsi="Times New Roman" w:eastAsia="宋体" w:cs="Times New Roman"/>
                <w:color w:val="auto"/>
                <w:kern w:val="0"/>
                <w:sz w:val="20"/>
                <w:szCs w:val="20"/>
                <w:lang w:val="en-US" w:eastAsia="zh-CN" w:bidi="ar"/>
              </w:rPr>
              <w:t>2</w:t>
            </w:r>
            <w:r>
              <w:rPr>
                <w:rFonts w:hint="eastAsia" w:ascii="宋体" w:hAnsi="宋体" w:eastAsia="宋体" w:cs="宋体"/>
                <w:color w:val="auto"/>
                <w:kern w:val="0"/>
                <w:sz w:val="20"/>
                <w:szCs w:val="20"/>
                <w:lang w:val="en-US" w:eastAsia="zh-CN" w:bidi="ar"/>
              </w:rPr>
              <w:t>）</w:t>
            </w:r>
            <w:r>
              <w:rPr>
                <w:rFonts w:hint="eastAsia" w:ascii="宋体" w:hAnsi="宋体" w:cs="宋体"/>
                <w:color w:val="auto"/>
                <w:kern w:val="0"/>
                <w:szCs w:val="21"/>
              </w:rPr>
              <w:t>中标人实际配送的货物必须为合格品，不能以次充好或提供假冒伪劣产品，否则采购人有权单方中止与中标人的供货协议并追究相关法律责任。</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w:t>
            </w:r>
            <w:r>
              <w:rPr>
                <w:rFonts w:hint="eastAsia" w:ascii="Times New Roman" w:hAnsi="Times New Roman" w:eastAsia="宋体" w:cs="Times New Roman"/>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 xml:space="preserve">）供需双方在药品购销过程中严格执行《药品管理法》《医疗机构药事管理规定》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和《处方管理办法》等法律法规的有关规定，诚信经营。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w:t>
            </w:r>
            <w:r>
              <w:rPr>
                <w:rFonts w:hint="eastAsia" w:ascii="Times New Roman" w:hAnsi="Times New Roman" w:eastAsia="宋体" w:cs="Times New Roman"/>
                <w:color w:val="000000"/>
                <w:kern w:val="0"/>
                <w:sz w:val="20"/>
                <w:szCs w:val="20"/>
                <w:lang w:val="en-US" w:eastAsia="zh-CN" w:bidi="ar"/>
              </w:rPr>
              <w:t>4</w:t>
            </w:r>
            <w:r>
              <w:rPr>
                <w:rFonts w:hint="eastAsia" w:ascii="宋体" w:hAnsi="宋体" w:eastAsia="宋体" w:cs="宋体"/>
                <w:color w:val="000000"/>
                <w:kern w:val="0"/>
                <w:sz w:val="20"/>
                <w:szCs w:val="20"/>
                <w:lang w:val="en-US" w:eastAsia="zh-CN" w:bidi="ar"/>
              </w:rPr>
              <w:t xml:space="preserve">）中标企业在保证药品质量、执行国家物价的前提下按约定的药品品种、剂型、规格、数量、价格、供货方式等供货，保证临床用药。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w:t>
            </w:r>
            <w:r>
              <w:rPr>
                <w:rFonts w:hint="eastAsia" w:ascii="Times New Roman" w:hAnsi="Times New Roman" w:eastAsia="宋体" w:cs="Times New Roman"/>
                <w:color w:val="000000"/>
                <w:kern w:val="0"/>
                <w:sz w:val="20"/>
                <w:szCs w:val="20"/>
                <w:lang w:val="en-US" w:eastAsia="zh-CN" w:bidi="ar"/>
              </w:rPr>
              <w:t>5</w:t>
            </w:r>
            <w:r>
              <w:rPr>
                <w:rFonts w:hint="eastAsia" w:ascii="宋体" w:hAnsi="宋体" w:eastAsia="宋体" w:cs="宋体"/>
                <w:color w:val="000000"/>
                <w:kern w:val="0"/>
                <w:sz w:val="20"/>
                <w:szCs w:val="20"/>
                <w:lang w:val="en-US" w:eastAsia="zh-CN" w:bidi="ar"/>
              </w:rPr>
              <w:t xml:space="preserve">）中标企业必须产品齐全，不得以任何借口（如无货，采购量少等）不执行医院药品采购计划。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w:t>
            </w:r>
            <w:r>
              <w:rPr>
                <w:rFonts w:hint="eastAsia" w:ascii="Times New Roman" w:hAnsi="Times New Roman" w:eastAsia="宋体" w:cs="Times New Roman"/>
                <w:color w:val="000000"/>
                <w:kern w:val="0"/>
                <w:sz w:val="20"/>
                <w:szCs w:val="20"/>
                <w:lang w:val="en-US" w:eastAsia="zh-CN" w:bidi="ar"/>
              </w:rPr>
              <w:t>6</w:t>
            </w:r>
            <w:r>
              <w:rPr>
                <w:rFonts w:hint="eastAsia" w:ascii="宋体" w:hAnsi="宋体" w:eastAsia="宋体" w:cs="宋体"/>
                <w:color w:val="000000"/>
                <w:kern w:val="0"/>
                <w:sz w:val="20"/>
                <w:szCs w:val="20"/>
                <w:lang w:val="en-US" w:eastAsia="zh-CN" w:bidi="ar"/>
              </w:rPr>
              <w:t xml:space="preserve">）中标企业派驻医院方的工作人员应有国家规定的上岗资质，在无国家规定时应通过相关部门的培训考核合格。 </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w:t>
            </w:r>
            <w:r>
              <w:rPr>
                <w:rFonts w:hint="eastAsia" w:ascii="Times New Roman" w:hAnsi="Times New Roman" w:eastAsia="宋体" w:cs="Times New Roman"/>
                <w:color w:val="000000"/>
                <w:kern w:val="0"/>
                <w:sz w:val="20"/>
                <w:szCs w:val="20"/>
                <w:lang w:val="en-US" w:eastAsia="zh-CN" w:bidi="ar"/>
              </w:rPr>
              <w:t>7</w:t>
            </w:r>
            <w:r>
              <w:rPr>
                <w:rFonts w:hint="eastAsia" w:ascii="宋体" w:hAnsi="宋体" w:eastAsia="宋体" w:cs="宋体"/>
                <w:color w:val="000000"/>
                <w:kern w:val="0"/>
                <w:sz w:val="20"/>
                <w:szCs w:val="20"/>
                <w:lang w:val="en-US" w:eastAsia="zh-CN" w:bidi="ar"/>
              </w:rPr>
              <w:t xml:space="preserve">）经法定机构确认为药品质量原因造成医疗机构损失的，其损失（包括由此造成的其它损失）一律由供方承担。 </w:t>
            </w:r>
          </w:p>
          <w:p>
            <w:pPr>
              <w:keepNext w:val="0"/>
              <w:keepLines w:val="0"/>
              <w:widowControl/>
              <w:suppressLineNumbers w:val="0"/>
              <w:jc w:val="left"/>
              <w:rPr>
                <w:rFonts w:hint="eastAsia" w:ascii="宋体" w:hAnsi="宋体" w:cs="宋体"/>
                <w:kern w:val="0"/>
                <w:szCs w:val="21"/>
              </w:rPr>
            </w:pPr>
            <w:r>
              <w:rPr>
                <w:rFonts w:hint="eastAsia" w:ascii="宋体" w:hAnsi="宋体" w:eastAsia="宋体" w:cs="宋体"/>
                <w:color w:val="000000"/>
                <w:kern w:val="0"/>
                <w:sz w:val="20"/>
                <w:szCs w:val="20"/>
                <w:lang w:val="en-US" w:eastAsia="zh-CN" w:bidi="ar"/>
              </w:rPr>
              <w:t>（</w:t>
            </w:r>
            <w:r>
              <w:rPr>
                <w:rFonts w:hint="eastAsia" w:ascii="Times New Roman" w:hAnsi="Times New Roman" w:eastAsia="宋体" w:cs="Times New Roman"/>
                <w:color w:val="000000"/>
                <w:kern w:val="0"/>
                <w:sz w:val="20"/>
                <w:szCs w:val="20"/>
                <w:lang w:val="en-US" w:eastAsia="zh-CN" w:bidi="ar"/>
              </w:rPr>
              <w:t>8）</w:t>
            </w:r>
            <w:r>
              <w:rPr>
                <w:rFonts w:hint="eastAsia" w:ascii="宋体" w:hAnsi="宋体" w:eastAsia="宋体" w:cs="宋体"/>
                <w:color w:val="000000"/>
                <w:kern w:val="0"/>
                <w:sz w:val="20"/>
                <w:szCs w:val="20"/>
                <w:lang w:val="en-US" w:eastAsia="zh-CN" w:bidi="ar"/>
              </w:rPr>
              <w:t>中标企业在医院的服务范围，由医院药学部采购管理小组根据实际工作情况讨论决定。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1"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atLeast"/>
              <w:jc w:val="center"/>
              <w:rPr>
                <w:rFonts w:hint="eastAsia" w:ascii="宋体" w:hAnsi="宋体"/>
                <w:szCs w:val="21"/>
              </w:rPr>
            </w:pPr>
            <w:r>
              <w:rPr>
                <w:rFonts w:hint="eastAsia" w:ascii="宋体" w:hAnsi="宋体"/>
                <w:szCs w:val="21"/>
              </w:rPr>
              <w:t>服务方案要求</w:t>
            </w:r>
          </w:p>
        </w:tc>
        <w:tc>
          <w:tcPr>
            <w:tcW w:w="7662"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atLeast"/>
              <w:rPr>
                <w:rFonts w:hint="eastAsia" w:ascii="宋体" w:hAnsi="宋体"/>
                <w:szCs w:val="21"/>
              </w:rPr>
            </w:pPr>
            <w:r>
              <w:rPr>
                <w:rFonts w:hint="eastAsia" w:ascii="宋体" w:hAnsi="宋体"/>
                <w:szCs w:val="21"/>
              </w:rPr>
              <w:t>1、投标人需根据本项目服务需求及要求并结合自身能力提供服务方案及承诺，包括但不限于：与医院规模相适应的配方颗粒调配设备配置承诺、质量保证承诺、配送服务承诺、缺货补足保障措施、投诉的响应及处理；保证中药房正常运行的管理制度、工作流程、信息化建设、设备维护、人员配备及科研、培训、违约处罚等方面的承诺。</w:t>
            </w:r>
          </w:p>
          <w:p>
            <w:pPr>
              <w:spacing w:line="340" w:lineRule="atLeast"/>
              <w:rPr>
                <w:rFonts w:hint="eastAsia" w:ascii="宋体" w:hAnsi="宋体"/>
                <w:szCs w:val="21"/>
              </w:rPr>
            </w:pPr>
            <w:r>
              <w:rPr>
                <w:rFonts w:hint="eastAsia" w:ascii="宋体" w:hAnsi="宋体"/>
                <w:szCs w:val="21"/>
              </w:rPr>
              <w:t>2、如有，投标人可于投标文件中提供投标企业基本情况介绍（包括销售规模、省内或周边有无售后服务中心）、企业中药配方颗粒质量标准及技术规范等。</w:t>
            </w:r>
          </w:p>
        </w:tc>
      </w:tr>
    </w:tbl>
    <w:p>
      <w:pPr>
        <w:tabs>
          <w:tab w:val="left" w:pos="4054"/>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Century">
    <w:panose1 w:val="020406040505050203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tentative="0">
      <w:start w:val="1"/>
      <w:numFmt w:val="decimal"/>
      <w:pStyle w:val="12"/>
      <w:lvlText w:val="%1."/>
      <w:lvlJc w:val="left"/>
      <w:pPr>
        <w:tabs>
          <w:tab w:val="left" w:pos="360"/>
        </w:tabs>
        <w:ind w:left="360" w:hanging="360" w:hangingChars="20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5"/>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2">
    <w:nsid w:val="6C861A77"/>
    <w:multiLevelType w:val="multilevel"/>
    <w:tmpl w:val="6C861A77"/>
    <w:lvl w:ilvl="0" w:tentative="0">
      <w:start w:val="1"/>
      <w:numFmt w:val="decimal"/>
      <w:pStyle w:val="18"/>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5YTgxZjkyNTA0OGYxNTc3MGRmY2EwMjE0MjJmNzAifQ=="/>
  </w:docVars>
  <w:rsids>
    <w:rsidRoot w:val="0030342D"/>
    <w:rsid w:val="00000032"/>
    <w:rsid w:val="00042FC7"/>
    <w:rsid w:val="000B0B67"/>
    <w:rsid w:val="000C64D8"/>
    <w:rsid w:val="001025F8"/>
    <w:rsid w:val="00104F88"/>
    <w:rsid w:val="00193845"/>
    <w:rsid w:val="00207BC9"/>
    <w:rsid w:val="00293560"/>
    <w:rsid w:val="0030342D"/>
    <w:rsid w:val="0031720E"/>
    <w:rsid w:val="0039516D"/>
    <w:rsid w:val="003A3B44"/>
    <w:rsid w:val="003F1E67"/>
    <w:rsid w:val="004059BF"/>
    <w:rsid w:val="00435724"/>
    <w:rsid w:val="004809A4"/>
    <w:rsid w:val="00483464"/>
    <w:rsid w:val="00497BF3"/>
    <w:rsid w:val="004B49D9"/>
    <w:rsid w:val="004D5064"/>
    <w:rsid w:val="004F0792"/>
    <w:rsid w:val="004F1911"/>
    <w:rsid w:val="00522BA9"/>
    <w:rsid w:val="00562BA2"/>
    <w:rsid w:val="00577D94"/>
    <w:rsid w:val="005E3282"/>
    <w:rsid w:val="00651A17"/>
    <w:rsid w:val="00663283"/>
    <w:rsid w:val="007018E2"/>
    <w:rsid w:val="00714672"/>
    <w:rsid w:val="007E0E7E"/>
    <w:rsid w:val="0082648D"/>
    <w:rsid w:val="00843DCB"/>
    <w:rsid w:val="00855C3C"/>
    <w:rsid w:val="008C5BAD"/>
    <w:rsid w:val="008F4A42"/>
    <w:rsid w:val="00927077"/>
    <w:rsid w:val="00940ED7"/>
    <w:rsid w:val="00963CB2"/>
    <w:rsid w:val="00A37AA1"/>
    <w:rsid w:val="00A532CA"/>
    <w:rsid w:val="00A53B3C"/>
    <w:rsid w:val="00AE5876"/>
    <w:rsid w:val="00B44200"/>
    <w:rsid w:val="00B81314"/>
    <w:rsid w:val="00B875DF"/>
    <w:rsid w:val="00BF5A98"/>
    <w:rsid w:val="00C0475F"/>
    <w:rsid w:val="00C11035"/>
    <w:rsid w:val="00C12CEE"/>
    <w:rsid w:val="00C75F92"/>
    <w:rsid w:val="00C77C6A"/>
    <w:rsid w:val="00CB21AA"/>
    <w:rsid w:val="00CC0180"/>
    <w:rsid w:val="00CE02BD"/>
    <w:rsid w:val="00D03547"/>
    <w:rsid w:val="00D04A0B"/>
    <w:rsid w:val="00D05926"/>
    <w:rsid w:val="00D65230"/>
    <w:rsid w:val="00D80D92"/>
    <w:rsid w:val="00D875CF"/>
    <w:rsid w:val="00DA0631"/>
    <w:rsid w:val="00DA27D3"/>
    <w:rsid w:val="00DF50A0"/>
    <w:rsid w:val="00E016AF"/>
    <w:rsid w:val="00E2746E"/>
    <w:rsid w:val="00EF1FD5"/>
    <w:rsid w:val="00F93ABE"/>
    <w:rsid w:val="01FE33D5"/>
    <w:rsid w:val="02930AE1"/>
    <w:rsid w:val="042C0EBC"/>
    <w:rsid w:val="045D1075"/>
    <w:rsid w:val="048B3E34"/>
    <w:rsid w:val="058A152F"/>
    <w:rsid w:val="07593D76"/>
    <w:rsid w:val="07D1101F"/>
    <w:rsid w:val="092A6DA0"/>
    <w:rsid w:val="09F979E2"/>
    <w:rsid w:val="0B53783F"/>
    <w:rsid w:val="0BC11EE9"/>
    <w:rsid w:val="0EAD2BF9"/>
    <w:rsid w:val="10710382"/>
    <w:rsid w:val="133B4C77"/>
    <w:rsid w:val="13620456"/>
    <w:rsid w:val="14EA398A"/>
    <w:rsid w:val="15DF15B7"/>
    <w:rsid w:val="161D20DA"/>
    <w:rsid w:val="16B22987"/>
    <w:rsid w:val="178963E1"/>
    <w:rsid w:val="17B46420"/>
    <w:rsid w:val="181B5077"/>
    <w:rsid w:val="19C257AA"/>
    <w:rsid w:val="1C093B64"/>
    <w:rsid w:val="1CA55E9F"/>
    <w:rsid w:val="1CEC0633"/>
    <w:rsid w:val="1D1D643E"/>
    <w:rsid w:val="1D421208"/>
    <w:rsid w:val="1D594678"/>
    <w:rsid w:val="1D7274E7"/>
    <w:rsid w:val="219E306A"/>
    <w:rsid w:val="21C978F2"/>
    <w:rsid w:val="227C48DF"/>
    <w:rsid w:val="244404CF"/>
    <w:rsid w:val="262D044F"/>
    <w:rsid w:val="27C77D4E"/>
    <w:rsid w:val="29F60FE5"/>
    <w:rsid w:val="2CC779C2"/>
    <w:rsid w:val="2D376414"/>
    <w:rsid w:val="2F5527C5"/>
    <w:rsid w:val="31DE1CBB"/>
    <w:rsid w:val="333B2F8B"/>
    <w:rsid w:val="334A7714"/>
    <w:rsid w:val="350C7C81"/>
    <w:rsid w:val="37E32176"/>
    <w:rsid w:val="385D5EFD"/>
    <w:rsid w:val="39491F08"/>
    <w:rsid w:val="39882115"/>
    <w:rsid w:val="398B71C5"/>
    <w:rsid w:val="39D07618"/>
    <w:rsid w:val="3B8E778B"/>
    <w:rsid w:val="3BC60A9D"/>
    <w:rsid w:val="437A00D2"/>
    <w:rsid w:val="44E43461"/>
    <w:rsid w:val="46712183"/>
    <w:rsid w:val="46E9753D"/>
    <w:rsid w:val="47677A2B"/>
    <w:rsid w:val="476A401D"/>
    <w:rsid w:val="494D47E1"/>
    <w:rsid w:val="49706721"/>
    <w:rsid w:val="49D00C5E"/>
    <w:rsid w:val="4A000B09"/>
    <w:rsid w:val="4B1D6435"/>
    <w:rsid w:val="4C8F07C2"/>
    <w:rsid w:val="4CED4A08"/>
    <w:rsid w:val="4DBE5CAD"/>
    <w:rsid w:val="512F78E3"/>
    <w:rsid w:val="51FA4477"/>
    <w:rsid w:val="52645A08"/>
    <w:rsid w:val="531E0F9C"/>
    <w:rsid w:val="5358625C"/>
    <w:rsid w:val="540F3619"/>
    <w:rsid w:val="541A5C08"/>
    <w:rsid w:val="549239F0"/>
    <w:rsid w:val="5705494D"/>
    <w:rsid w:val="57B54D3F"/>
    <w:rsid w:val="57F552B8"/>
    <w:rsid w:val="58BD4DB3"/>
    <w:rsid w:val="58C76E62"/>
    <w:rsid w:val="5C0B7B8B"/>
    <w:rsid w:val="5D200D46"/>
    <w:rsid w:val="5F322057"/>
    <w:rsid w:val="5F5B6C88"/>
    <w:rsid w:val="5F864932"/>
    <w:rsid w:val="619A6E2E"/>
    <w:rsid w:val="662326FA"/>
    <w:rsid w:val="6690557D"/>
    <w:rsid w:val="674D6C50"/>
    <w:rsid w:val="67F51E74"/>
    <w:rsid w:val="68694610"/>
    <w:rsid w:val="6A344E6E"/>
    <w:rsid w:val="6A8D2838"/>
    <w:rsid w:val="6BD12BF8"/>
    <w:rsid w:val="6C5E4160"/>
    <w:rsid w:val="6F9D5EF1"/>
    <w:rsid w:val="703810CF"/>
    <w:rsid w:val="72DD1E82"/>
    <w:rsid w:val="736E6F7E"/>
    <w:rsid w:val="756964EF"/>
    <w:rsid w:val="75DD751C"/>
    <w:rsid w:val="77095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2"/>
    <w:semiHidden/>
    <w:unhideWhenUsed/>
    <w:qFormat/>
    <w:uiPriority w:val="0"/>
    <w:pPr>
      <w:keepNext/>
      <w:keepLines/>
      <w:spacing w:before="260" w:after="260" w:line="415" w:lineRule="auto"/>
      <w:outlineLvl w:val="1"/>
    </w:pPr>
    <w:rPr>
      <w:rFonts w:ascii="Arial" w:hAnsi="Arial" w:eastAsia="黑体" w:cs="Times New Roman"/>
      <w:b/>
      <w:bCs/>
      <w:kern w:val="0"/>
      <w:sz w:val="32"/>
      <w:szCs w:val="32"/>
    </w:rPr>
  </w:style>
  <w:style w:type="paragraph" w:styleId="4">
    <w:name w:val="heading 3"/>
    <w:basedOn w:val="1"/>
    <w:next w:val="1"/>
    <w:link w:val="53"/>
    <w:semiHidden/>
    <w:unhideWhenUsed/>
    <w:qFormat/>
    <w:uiPriority w:val="0"/>
    <w:pPr>
      <w:keepNext/>
      <w:keepLines/>
      <w:spacing w:before="260" w:after="260" w:line="415" w:lineRule="auto"/>
      <w:outlineLvl w:val="2"/>
    </w:pPr>
    <w:rPr>
      <w:rFonts w:ascii="Times New Roman" w:hAnsi="Times New Roman" w:eastAsia="宋体" w:cs="Times New Roman"/>
      <w:b/>
      <w:bCs/>
      <w:kern w:val="0"/>
      <w:sz w:val="32"/>
      <w:szCs w:val="32"/>
    </w:rPr>
  </w:style>
  <w:style w:type="paragraph" w:styleId="5">
    <w:name w:val="heading 5"/>
    <w:basedOn w:val="1"/>
    <w:next w:val="6"/>
    <w:link w:val="90"/>
    <w:semiHidden/>
    <w:unhideWhenUsed/>
    <w:qFormat/>
    <w:uiPriority w:val="0"/>
    <w:pPr>
      <w:keepNext/>
      <w:keepLines/>
      <w:numPr>
        <w:ilvl w:val="4"/>
        <w:numId w:val="1"/>
      </w:numPr>
      <w:spacing w:before="280" w:after="290" w:line="374" w:lineRule="auto"/>
      <w:outlineLvl w:val="4"/>
    </w:pPr>
    <w:rPr>
      <w:rFonts w:ascii="Times New Roman" w:hAnsi="Times New Roman" w:eastAsia="宋体" w:cs="Times New Roman"/>
      <w:b/>
      <w:sz w:val="28"/>
      <w:szCs w:val="24"/>
    </w:rPr>
  </w:style>
  <w:style w:type="paragraph" w:styleId="7">
    <w:name w:val="heading 6"/>
    <w:basedOn w:val="1"/>
    <w:next w:val="6"/>
    <w:link w:val="55"/>
    <w:semiHidden/>
    <w:unhideWhenUsed/>
    <w:qFormat/>
    <w:uiPriority w:val="0"/>
    <w:pPr>
      <w:keepNext/>
      <w:keepLines/>
      <w:numPr>
        <w:ilvl w:val="5"/>
        <w:numId w:val="1"/>
      </w:numPr>
      <w:spacing w:before="240" w:after="64" w:line="319" w:lineRule="auto"/>
      <w:outlineLvl w:val="5"/>
    </w:pPr>
    <w:rPr>
      <w:rFonts w:ascii="Arial" w:hAnsi="Arial" w:eastAsia="黑体" w:cs="Times New Roman"/>
      <w:b/>
      <w:sz w:val="24"/>
      <w:szCs w:val="24"/>
    </w:rPr>
  </w:style>
  <w:style w:type="paragraph" w:styleId="8">
    <w:name w:val="heading 7"/>
    <w:basedOn w:val="1"/>
    <w:next w:val="6"/>
    <w:link w:val="56"/>
    <w:semiHidden/>
    <w:unhideWhenUsed/>
    <w:qFormat/>
    <w:uiPriority w:val="99"/>
    <w:pPr>
      <w:keepNext/>
      <w:keepLines/>
      <w:numPr>
        <w:ilvl w:val="6"/>
        <w:numId w:val="1"/>
      </w:numPr>
      <w:spacing w:before="240" w:after="64" w:line="319" w:lineRule="auto"/>
      <w:outlineLvl w:val="6"/>
    </w:pPr>
    <w:rPr>
      <w:rFonts w:ascii="Times New Roman" w:hAnsi="Times New Roman" w:eastAsia="宋体" w:cs="Times New Roman"/>
      <w:b/>
      <w:sz w:val="24"/>
      <w:szCs w:val="24"/>
    </w:rPr>
  </w:style>
  <w:style w:type="paragraph" w:styleId="9">
    <w:name w:val="heading 8"/>
    <w:basedOn w:val="1"/>
    <w:next w:val="6"/>
    <w:link w:val="57"/>
    <w:semiHidden/>
    <w:unhideWhenUsed/>
    <w:qFormat/>
    <w:uiPriority w:val="99"/>
    <w:pPr>
      <w:keepNext/>
      <w:keepLines/>
      <w:numPr>
        <w:ilvl w:val="7"/>
        <w:numId w:val="1"/>
      </w:numPr>
      <w:spacing w:before="240" w:after="64" w:line="319" w:lineRule="auto"/>
      <w:outlineLvl w:val="7"/>
    </w:pPr>
    <w:rPr>
      <w:rFonts w:ascii="Arial" w:hAnsi="Arial" w:eastAsia="黑体" w:cs="Times New Roman"/>
      <w:sz w:val="24"/>
      <w:szCs w:val="24"/>
    </w:rPr>
  </w:style>
  <w:style w:type="paragraph" w:styleId="10">
    <w:name w:val="heading 9"/>
    <w:basedOn w:val="1"/>
    <w:next w:val="6"/>
    <w:link w:val="58"/>
    <w:semiHidden/>
    <w:unhideWhenUsed/>
    <w:qFormat/>
    <w:uiPriority w:val="99"/>
    <w:pPr>
      <w:keepNext/>
      <w:keepLines/>
      <w:numPr>
        <w:ilvl w:val="8"/>
        <w:numId w:val="1"/>
      </w:numPr>
      <w:spacing w:before="240" w:after="64" w:line="319" w:lineRule="auto"/>
      <w:outlineLvl w:val="8"/>
    </w:pPr>
    <w:rPr>
      <w:rFonts w:ascii="Arial" w:hAnsi="Arial" w:eastAsia="黑体" w:cs="Times New Roman"/>
      <w:szCs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unhideWhenUsed/>
    <w:qFormat/>
    <w:uiPriority w:val="99"/>
    <w:pPr>
      <w:ind w:firstLine="420"/>
    </w:pPr>
    <w:rPr>
      <w:rFonts w:ascii="Times New Roman" w:hAnsi="Times New Roman" w:eastAsia="宋体" w:cs="Times New Roman"/>
      <w:szCs w:val="20"/>
    </w:rPr>
  </w:style>
  <w:style w:type="paragraph" w:styleId="11">
    <w:name w:val="toc 7"/>
    <w:basedOn w:val="1"/>
    <w:next w:val="1"/>
    <w:semiHidden/>
    <w:unhideWhenUsed/>
    <w:qFormat/>
    <w:uiPriority w:val="39"/>
    <w:pPr>
      <w:ind w:left="2520" w:leftChars="1200"/>
    </w:pPr>
    <w:rPr>
      <w:rFonts w:ascii="Calibri" w:hAnsi="Calibri" w:eastAsia="宋体" w:cs="Times New Roman"/>
    </w:rPr>
  </w:style>
  <w:style w:type="paragraph" w:styleId="12">
    <w:name w:val="List Number"/>
    <w:basedOn w:val="1"/>
    <w:semiHidden/>
    <w:unhideWhenUsed/>
    <w:qFormat/>
    <w:uiPriority w:val="99"/>
    <w:pPr>
      <w:widowControl/>
      <w:numPr>
        <w:ilvl w:val="0"/>
        <w:numId w:val="2"/>
      </w:numPr>
      <w:tabs>
        <w:tab w:val="left" w:pos="454"/>
        <w:tab w:val="left" w:pos="720"/>
        <w:tab w:val="left" w:pos="840"/>
        <w:tab w:val="clear" w:pos="360"/>
      </w:tabs>
      <w:spacing w:afterLines="50"/>
      <w:ind w:left="454" w:hanging="284" w:firstLineChars="0"/>
      <w:jc w:val="left"/>
    </w:pPr>
    <w:rPr>
      <w:rFonts w:ascii="Times New Roman" w:hAnsi="Times New Roman" w:eastAsia="宋体" w:cs="Times New Roman"/>
      <w:kern w:val="0"/>
      <w:sz w:val="24"/>
      <w:szCs w:val="20"/>
    </w:rPr>
  </w:style>
  <w:style w:type="paragraph" w:styleId="13">
    <w:name w:val="caption"/>
    <w:basedOn w:val="1"/>
    <w:next w:val="1"/>
    <w:semiHidden/>
    <w:unhideWhenUsed/>
    <w:qFormat/>
    <w:uiPriority w:val="99"/>
    <w:pPr>
      <w:spacing w:before="152" w:after="160"/>
    </w:pPr>
    <w:rPr>
      <w:rFonts w:ascii="Arial" w:hAnsi="Arial" w:eastAsia="黑体" w:cs="Arial"/>
      <w:sz w:val="20"/>
      <w:szCs w:val="20"/>
    </w:rPr>
  </w:style>
  <w:style w:type="paragraph" w:styleId="14">
    <w:name w:val="annotation text"/>
    <w:basedOn w:val="1"/>
    <w:link w:val="91"/>
    <w:unhideWhenUsed/>
    <w:qFormat/>
    <w:uiPriority w:val="99"/>
    <w:pPr>
      <w:jc w:val="left"/>
    </w:pPr>
    <w:rPr>
      <w:rFonts w:ascii="Times New Roman" w:hAnsi="Times New Roman" w:eastAsia="宋体" w:cs="Times New Roman"/>
      <w:szCs w:val="24"/>
    </w:rPr>
  </w:style>
  <w:style w:type="paragraph" w:styleId="15">
    <w:name w:val="Body Text 3"/>
    <w:basedOn w:val="1"/>
    <w:link w:val="70"/>
    <w:semiHidden/>
    <w:unhideWhenUsed/>
    <w:qFormat/>
    <w:uiPriority w:val="99"/>
    <w:pPr>
      <w:spacing w:line="500" w:lineRule="exact"/>
    </w:pPr>
    <w:rPr>
      <w:rFonts w:ascii="Times New Roman" w:hAnsi="Times New Roman" w:eastAsia="宋体" w:cs="Times New Roman"/>
      <w:b/>
      <w:bCs/>
      <w:kern w:val="0"/>
      <w:sz w:val="24"/>
      <w:szCs w:val="24"/>
    </w:rPr>
  </w:style>
  <w:style w:type="paragraph" w:styleId="16">
    <w:name w:val="Body Text"/>
    <w:basedOn w:val="1"/>
    <w:link w:val="66"/>
    <w:semiHidden/>
    <w:unhideWhenUsed/>
    <w:qFormat/>
    <w:uiPriority w:val="99"/>
    <w:pPr>
      <w:spacing w:line="380" w:lineRule="exact"/>
    </w:pPr>
    <w:rPr>
      <w:rFonts w:ascii="Times New Roman" w:hAnsi="Times New Roman" w:eastAsia="宋体" w:cs="Times New Roman"/>
      <w:kern w:val="0"/>
      <w:sz w:val="24"/>
      <w:szCs w:val="24"/>
    </w:rPr>
  </w:style>
  <w:style w:type="paragraph" w:styleId="17">
    <w:name w:val="Body Text Indent"/>
    <w:basedOn w:val="1"/>
    <w:link w:val="67"/>
    <w:semiHidden/>
    <w:unhideWhenUsed/>
    <w:qFormat/>
    <w:uiPriority w:val="99"/>
    <w:pPr>
      <w:ind w:firstLine="830" w:firstLineChars="352"/>
    </w:pPr>
    <w:rPr>
      <w:rFonts w:ascii="仿宋_GB2312" w:hAnsi="Times New Roman" w:eastAsia="仿宋_GB2312" w:cs="Times New Roman"/>
      <w:kern w:val="0"/>
      <w:sz w:val="32"/>
      <w:szCs w:val="20"/>
    </w:rPr>
  </w:style>
  <w:style w:type="paragraph" w:styleId="18">
    <w:name w:val="List Number 3"/>
    <w:basedOn w:val="1"/>
    <w:semiHidden/>
    <w:unhideWhenUsed/>
    <w:qFormat/>
    <w:uiPriority w:val="99"/>
    <w:pPr>
      <w:numPr>
        <w:ilvl w:val="0"/>
        <w:numId w:val="3"/>
      </w:numPr>
      <w:tabs>
        <w:tab w:val="left" w:pos="1200"/>
      </w:tabs>
    </w:pPr>
    <w:rPr>
      <w:rFonts w:ascii="Times New Roman" w:hAnsi="Times New Roman" w:eastAsia="宋体" w:cs="Times New Roman"/>
      <w:szCs w:val="24"/>
    </w:rPr>
  </w:style>
  <w:style w:type="paragraph" w:styleId="19">
    <w:name w:val="List 2"/>
    <w:basedOn w:val="1"/>
    <w:semiHidden/>
    <w:unhideWhenUsed/>
    <w:qFormat/>
    <w:uiPriority w:val="99"/>
    <w:pPr>
      <w:ind w:left="100" w:leftChars="200" w:hanging="200" w:hangingChars="200"/>
    </w:pPr>
    <w:rPr>
      <w:rFonts w:ascii="Times New Roman" w:hAnsi="Times New Roman" w:eastAsia="宋体" w:cs="Times New Roman"/>
      <w:sz w:val="28"/>
      <w:szCs w:val="24"/>
    </w:rPr>
  </w:style>
  <w:style w:type="paragraph" w:styleId="20">
    <w:name w:val="toc 5"/>
    <w:basedOn w:val="1"/>
    <w:next w:val="1"/>
    <w:semiHidden/>
    <w:unhideWhenUsed/>
    <w:qFormat/>
    <w:uiPriority w:val="39"/>
    <w:pPr>
      <w:ind w:left="1680" w:leftChars="800"/>
    </w:pPr>
    <w:rPr>
      <w:rFonts w:ascii="Calibri" w:hAnsi="Calibri" w:eastAsia="宋体" w:cs="Times New Roman"/>
    </w:rPr>
  </w:style>
  <w:style w:type="paragraph" w:styleId="21">
    <w:name w:val="toc 3"/>
    <w:basedOn w:val="1"/>
    <w:next w:val="1"/>
    <w:semiHidden/>
    <w:unhideWhenUsed/>
    <w:qFormat/>
    <w:uiPriority w:val="39"/>
    <w:pPr>
      <w:ind w:left="840" w:leftChars="400"/>
    </w:pPr>
    <w:rPr>
      <w:rFonts w:ascii="Calibri" w:hAnsi="Calibri" w:eastAsia="宋体" w:cs="Times New Roman"/>
    </w:rPr>
  </w:style>
  <w:style w:type="paragraph" w:styleId="22">
    <w:name w:val="Plain Text"/>
    <w:basedOn w:val="1"/>
    <w:link w:val="92"/>
    <w:semiHidden/>
    <w:unhideWhenUsed/>
    <w:qFormat/>
    <w:uiPriority w:val="99"/>
    <w:rPr>
      <w:rFonts w:ascii="宋体" w:hAnsi="Courier New" w:eastAsia="宋体" w:cs="Times New Roman"/>
      <w:kern w:val="0"/>
      <w:sz w:val="20"/>
      <w:szCs w:val="21"/>
    </w:rPr>
  </w:style>
  <w:style w:type="paragraph" w:styleId="23">
    <w:name w:val="toc 8"/>
    <w:basedOn w:val="1"/>
    <w:next w:val="1"/>
    <w:semiHidden/>
    <w:unhideWhenUsed/>
    <w:qFormat/>
    <w:uiPriority w:val="39"/>
    <w:pPr>
      <w:ind w:left="2940" w:leftChars="1400"/>
    </w:pPr>
    <w:rPr>
      <w:rFonts w:ascii="Calibri" w:hAnsi="Calibri" w:eastAsia="宋体" w:cs="Times New Roman"/>
    </w:rPr>
  </w:style>
  <w:style w:type="paragraph" w:styleId="24">
    <w:name w:val="Date"/>
    <w:basedOn w:val="1"/>
    <w:next w:val="1"/>
    <w:link w:val="68"/>
    <w:semiHidden/>
    <w:unhideWhenUsed/>
    <w:qFormat/>
    <w:uiPriority w:val="99"/>
    <w:pPr>
      <w:ind w:left="100" w:leftChars="2500"/>
    </w:pPr>
    <w:rPr>
      <w:rFonts w:ascii="宋体" w:hAnsi="Courier New" w:eastAsia="宋体" w:cs="Times New Roman"/>
      <w:kern w:val="0"/>
      <w:sz w:val="20"/>
      <w:szCs w:val="21"/>
    </w:rPr>
  </w:style>
  <w:style w:type="paragraph" w:styleId="25">
    <w:name w:val="Body Text Indent 2"/>
    <w:basedOn w:val="1"/>
    <w:link w:val="71"/>
    <w:semiHidden/>
    <w:unhideWhenUsed/>
    <w:qFormat/>
    <w:uiPriority w:val="99"/>
    <w:pPr>
      <w:ind w:firstLine="630"/>
    </w:pPr>
    <w:rPr>
      <w:rFonts w:ascii="Times New Roman" w:hAnsi="Times New Roman" w:eastAsia="宋体" w:cs="Times New Roman"/>
      <w:kern w:val="0"/>
      <w:sz w:val="32"/>
      <w:szCs w:val="20"/>
    </w:rPr>
  </w:style>
  <w:style w:type="paragraph" w:styleId="26">
    <w:name w:val="endnote text"/>
    <w:basedOn w:val="1"/>
    <w:link w:val="64"/>
    <w:semiHidden/>
    <w:unhideWhenUsed/>
    <w:qFormat/>
    <w:uiPriority w:val="99"/>
    <w:pPr>
      <w:snapToGrid w:val="0"/>
      <w:jc w:val="left"/>
    </w:pPr>
    <w:rPr>
      <w:rFonts w:ascii="Times New Roman" w:hAnsi="Times New Roman" w:eastAsia="宋体" w:cs="Times New Roman"/>
      <w:szCs w:val="24"/>
    </w:rPr>
  </w:style>
  <w:style w:type="paragraph" w:styleId="27">
    <w:name w:val="Balloon Text"/>
    <w:basedOn w:val="1"/>
    <w:link w:val="75"/>
    <w:semiHidden/>
    <w:unhideWhenUsed/>
    <w:qFormat/>
    <w:uiPriority w:val="99"/>
    <w:rPr>
      <w:rFonts w:ascii="Times New Roman" w:hAnsi="Times New Roman" w:eastAsia="宋体" w:cs="Times New Roman"/>
      <w:kern w:val="0"/>
      <w:sz w:val="18"/>
      <w:szCs w:val="18"/>
    </w:rPr>
  </w:style>
  <w:style w:type="paragraph" w:styleId="28">
    <w:name w:val="footer"/>
    <w:basedOn w:val="1"/>
    <w:link w:val="63"/>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9">
    <w:name w:val="header"/>
    <w:basedOn w:val="1"/>
    <w:link w:val="62"/>
    <w:unhideWhenUsed/>
    <w:qFormat/>
    <w:uiPriority w:val="99"/>
    <w:pPr>
      <w:pBdr>
        <w:bottom w:val="single" w:color="auto" w:sz="6" w:space="1"/>
      </w:pBdr>
      <w:tabs>
        <w:tab w:val="center" w:pos="0"/>
        <w:tab w:val="left" w:pos="8306"/>
      </w:tabs>
      <w:snapToGrid w:val="0"/>
      <w:jc w:val="center"/>
    </w:pPr>
    <w:rPr>
      <w:rFonts w:ascii="Times New Roman" w:hAnsi="Times New Roman" w:eastAsia="宋体" w:cs="Times New Roman"/>
      <w:sz w:val="18"/>
      <w:szCs w:val="18"/>
    </w:rPr>
  </w:style>
  <w:style w:type="paragraph" w:styleId="30">
    <w:name w:val="toc 1"/>
    <w:basedOn w:val="1"/>
    <w:next w:val="1"/>
    <w:semiHidden/>
    <w:unhideWhenUsed/>
    <w:qFormat/>
    <w:uiPriority w:val="39"/>
    <w:pPr>
      <w:tabs>
        <w:tab w:val="right" w:leader="dot" w:pos="8398"/>
      </w:tabs>
      <w:spacing w:before="120" w:after="120"/>
      <w:ind w:firstLine="240" w:firstLineChars="100"/>
      <w:jc w:val="left"/>
    </w:pPr>
    <w:rPr>
      <w:rFonts w:ascii="宋体" w:hAnsi="宋体" w:eastAsia="宋体" w:cs="Times New Roman"/>
      <w:b/>
      <w:bCs/>
      <w:caps/>
      <w:sz w:val="24"/>
      <w:szCs w:val="24"/>
    </w:rPr>
  </w:style>
  <w:style w:type="paragraph" w:styleId="31">
    <w:name w:val="toc 4"/>
    <w:basedOn w:val="1"/>
    <w:next w:val="1"/>
    <w:semiHidden/>
    <w:unhideWhenUsed/>
    <w:qFormat/>
    <w:uiPriority w:val="39"/>
    <w:pPr>
      <w:ind w:left="1260" w:leftChars="600"/>
    </w:pPr>
    <w:rPr>
      <w:rFonts w:ascii="Calibri" w:hAnsi="Calibri" w:eastAsia="宋体" w:cs="Times New Roman"/>
    </w:rPr>
  </w:style>
  <w:style w:type="paragraph" w:styleId="32">
    <w:name w:val="List"/>
    <w:basedOn w:val="1"/>
    <w:semiHidden/>
    <w:unhideWhenUsed/>
    <w:qFormat/>
    <w:uiPriority w:val="99"/>
    <w:pPr>
      <w:ind w:left="200" w:hanging="200" w:hangingChars="200"/>
    </w:pPr>
    <w:rPr>
      <w:rFonts w:ascii="Times New Roman" w:hAnsi="Times New Roman" w:eastAsia="宋体" w:cs="Times New Roman"/>
      <w:sz w:val="28"/>
      <w:szCs w:val="24"/>
    </w:rPr>
  </w:style>
  <w:style w:type="paragraph" w:styleId="33">
    <w:name w:val="footnote text"/>
    <w:basedOn w:val="1"/>
    <w:link w:val="60"/>
    <w:semiHidden/>
    <w:unhideWhenUsed/>
    <w:qFormat/>
    <w:uiPriority w:val="99"/>
    <w:pPr>
      <w:snapToGrid w:val="0"/>
      <w:jc w:val="left"/>
    </w:pPr>
    <w:rPr>
      <w:rFonts w:ascii="Times New Roman" w:hAnsi="Times New Roman" w:eastAsia="宋体" w:cs="Times New Roman"/>
      <w:sz w:val="18"/>
      <w:szCs w:val="18"/>
    </w:rPr>
  </w:style>
  <w:style w:type="paragraph" w:styleId="34">
    <w:name w:val="toc 6"/>
    <w:basedOn w:val="1"/>
    <w:next w:val="1"/>
    <w:semiHidden/>
    <w:unhideWhenUsed/>
    <w:qFormat/>
    <w:uiPriority w:val="39"/>
    <w:pPr>
      <w:ind w:left="2100" w:leftChars="1000"/>
    </w:pPr>
    <w:rPr>
      <w:rFonts w:ascii="Calibri" w:hAnsi="Calibri" w:eastAsia="宋体" w:cs="Times New Roman"/>
    </w:rPr>
  </w:style>
  <w:style w:type="paragraph" w:styleId="35">
    <w:name w:val="Body Text Indent 3"/>
    <w:basedOn w:val="1"/>
    <w:link w:val="72"/>
    <w:semiHidden/>
    <w:unhideWhenUsed/>
    <w:qFormat/>
    <w:uiPriority w:val="99"/>
    <w:pPr>
      <w:spacing w:after="120"/>
      <w:ind w:left="420" w:leftChars="200"/>
    </w:pPr>
    <w:rPr>
      <w:rFonts w:ascii="Times New Roman" w:hAnsi="Times New Roman" w:eastAsia="宋体" w:cs="Times New Roman"/>
      <w:kern w:val="0"/>
      <w:sz w:val="16"/>
      <w:szCs w:val="16"/>
    </w:rPr>
  </w:style>
  <w:style w:type="paragraph" w:styleId="36">
    <w:name w:val="toc 2"/>
    <w:basedOn w:val="1"/>
    <w:next w:val="1"/>
    <w:semiHidden/>
    <w:unhideWhenUsed/>
    <w:qFormat/>
    <w:uiPriority w:val="39"/>
    <w:pPr>
      <w:ind w:left="420" w:leftChars="200"/>
    </w:pPr>
    <w:rPr>
      <w:rFonts w:ascii="Times New Roman" w:hAnsi="Times New Roman" w:eastAsia="宋体" w:cs="Times New Roman"/>
      <w:szCs w:val="24"/>
    </w:rPr>
  </w:style>
  <w:style w:type="paragraph" w:styleId="37">
    <w:name w:val="toc 9"/>
    <w:basedOn w:val="1"/>
    <w:next w:val="1"/>
    <w:semiHidden/>
    <w:unhideWhenUsed/>
    <w:qFormat/>
    <w:uiPriority w:val="39"/>
    <w:pPr>
      <w:ind w:left="3360" w:leftChars="1600"/>
    </w:pPr>
    <w:rPr>
      <w:rFonts w:ascii="Calibri" w:hAnsi="Calibri" w:eastAsia="宋体" w:cs="Times New Roman"/>
    </w:rPr>
  </w:style>
  <w:style w:type="paragraph" w:styleId="38">
    <w:name w:val="Body Text 2"/>
    <w:basedOn w:val="1"/>
    <w:link w:val="69"/>
    <w:semiHidden/>
    <w:unhideWhenUsed/>
    <w:qFormat/>
    <w:uiPriority w:val="99"/>
    <w:pPr>
      <w:spacing w:after="120" w:line="480" w:lineRule="auto"/>
    </w:pPr>
    <w:rPr>
      <w:rFonts w:ascii="Times New Roman" w:hAnsi="Times New Roman" w:eastAsia="宋体" w:cs="Times New Roman"/>
      <w:kern w:val="0"/>
      <w:sz w:val="20"/>
      <w:szCs w:val="24"/>
    </w:rPr>
  </w:style>
  <w:style w:type="paragraph" w:styleId="39">
    <w:name w:val="Normal (Web)"/>
    <w:basedOn w:val="1"/>
    <w:semiHidden/>
    <w:unhideWhenUsed/>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40">
    <w:name w:val="index 1"/>
    <w:basedOn w:val="1"/>
    <w:next w:val="1"/>
    <w:semiHidden/>
    <w:unhideWhenUsed/>
    <w:qFormat/>
    <w:uiPriority w:val="99"/>
    <w:pPr>
      <w:spacing w:line="400" w:lineRule="exact"/>
      <w:ind w:firstLine="420" w:firstLineChars="200"/>
    </w:pPr>
    <w:rPr>
      <w:rFonts w:ascii="宋体" w:hAnsi="Courier New" w:eastAsia="宋体" w:cs="Times New Roman"/>
      <w:b/>
      <w:szCs w:val="20"/>
    </w:rPr>
  </w:style>
  <w:style w:type="paragraph" w:styleId="41">
    <w:name w:val="Title"/>
    <w:basedOn w:val="1"/>
    <w:next w:val="1"/>
    <w:link w:val="65"/>
    <w:qFormat/>
    <w:uiPriority w:val="10"/>
    <w:pPr>
      <w:spacing w:before="240" w:after="60"/>
      <w:jc w:val="center"/>
      <w:outlineLvl w:val="0"/>
    </w:pPr>
    <w:rPr>
      <w:rFonts w:ascii="Cambria" w:hAnsi="Cambria" w:eastAsia="宋体" w:cs="Times New Roman"/>
      <w:b/>
      <w:bCs/>
      <w:sz w:val="32"/>
      <w:szCs w:val="32"/>
    </w:rPr>
  </w:style>
  <w:style w:type="paragraph" w:styleId="42">
    <w:name w:val="annotation subject"/>
    <w:basedOn w:val="14"/>
    <w:next w:val="14"/>
    <w:link w:val="74"/>
    <w:semiHidden/>
    <w:unhideWhenUsed/>
    <w:qFormat/>
    <w:uiPriority w:val="99"/>
    <w:rPr>
      <w:b/>
      <w:bCs/>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endnote reference"/>
    <w:semiHidden/>
    <w:unhideWhenUsed/>
    <w:qFormat/>
    <w:uiPriority w:val="99"/>
    <w:rPr>
      <w:vertAlign w:val="superscript"/>
    </w:rPr>
  </w:style>
  <w:style w:type="character" w:styleId="47">
    <w:name w:val="FollowedHyperlink"/>
    <w:basedOn w:val="45"/>
    <w:semiHidden/>
    <w:unhideWhenUsed/>
    <w:qFormat/>
    <w:uiPriority w:val="99"/>
    <w:rPr>
      <w:color w:val="954F72" w:themeColor="followedHyperlink"/>
      <w:u w:val="single"/>
      <w14:textFill>
        <w14:solidFill>
          <w14:schemeClr w14:val="folHlink"/>
        </w14:solidFill>
      </w14:textFill>
    </w:rPr>
  </w:style>
  <w:style w:type="character" w:styleId="48">
    <w:name w:val="Hyperlink"/>
    <w:semiHidden/>
    <w:unhideWhenUsed/>
    <w:qFormat/>
    <w:uiPriority w:val="99"/>
    <w:rPr>
      <w:color w:val="0000FF"/>
      <w:u w:val="single"/>
    </w:rPr>
  </w:style>
  <w:style w:type="character" w:styleId="49">
    <w:name w:val="annotation reference"/>
    <w:semiHidden/>
    <w:unhideWhenUsed/>
    <w:qFormat/>
    <w:uiPriority w:val="99"/>
    <w:rPr>
      <w:sz w:val="21"/>
      <w:szCs w:val="21"/>
    </w:rPr>
  </w:style>
  <w:style w:type="character" w:styleId="50">
    <w:name w:val="footnote reference"/>
    <w:semiHidden/>
    <w:unhideWhenUsed/>
    <w:qFormat/>
    <w:uiPriority w:val="99"/>
    <w:rPr>
      <w:vertAlign w:val="superscript"/>
    </w:rPr>
  </w:style>
  <w:style w:type="character" w:customStyle="1" w:styleId="51">
    <w:name w:val="标题 1 字符1"/>
    <w:basedOn w:val="45"/>
    <w:link w:val="2"/>
    <w:qFormat/>
    <w:uiPriority w:val="0"/>
    <w:rPr>
      <w:rFonts w:ascii="Times New Roman" w:hAnsi="Times New Roman" w:eastAsia="宋体" w:cs="Times New Roman"/>
      <w:b/>
      <w:bCs/>
      <w:kern w:val="44"/>
      <w:sz w:val="44"/>
      <w:szCs w:val="44"/>
    </w:rPr>
  </w:style>
  <w:style w:type="character" w:customStyle="1" w:styleId="52">
    <w:name w:val="标题 2 字符"/>
    <w:basedOn w:val="45"/>
    <w:link w:val="3"/>
    <w:semiHidden/>
    <w:qFormat/>
    <w:uiPriority w:val="0"/>
    <w:rPr>
      <w:rFonts w:ascii="Arial" w:hAnsi="Arial" w:eastAsia="黑体" w:cs="Times New Roman"/>
      <w:b/>
      <w:bCs/>
      <w:kern w:val="0"/>
      <w:sz w:val="32"/>
      <w:szCs w:val="32"/>
    </w:rPr>
  </w:style>
  <w:style w:type="character" w:customStyle="1" w:styleId="53">
    <w:name w:val="标题 3 字符"/>
    <w:basedOn w:val="45"/>
    <w:link w:val="4"/>
    <w:semiHidden/>
    <w:qFormat/>
    <w:uiPriority w:val="0"/>
    <w:rPr>
      <w:rFonts w:ascii="Times New Roman" w:hAnsi="Times New Roman" w:eastAsia="宋体" w:cs="Times New Roman"/>
      <w:b/>
      <w:bCs/>
      <w:kern w:val="0"/>
      <w:sz w:val="32"/>
      <w:szCs w:val="32"/>
    </w:rPr>
  </w:style>
  <w:style w:type="character" w:customStyle="1" w:styleId="54">
    <w:name w:val="标题 5 Char"/>
    <w:basedOn w:val="45"/>
    <w:semiHidden/>
    <w:qFormat/>
    <w:uiPriority w:val="0"/>
    <w:rPr>
      <w:b/>
      <w:bCs/>
      <w:sz w:val="28"/>
      <w:szCs w:val="28"/>
    </w:rPr>
  </w:style>
  <w:style w:type="character" w:customStyle="1" w:styleId="55">
    <w:name w:val="标题 6 字符"/>
    <w:basedOn w:val="45"/>
    <w:link w:val="7"/>
    <w:semiHidden/>
    <w:qFormat/>
    <w:uiPriority w:val="0"/>
    <w:rPr>
      <w:rFonts w:ascii="Arial" w:hAnsi="Arial" w:eastAsia="黑体" w:cs="Times New Roman"/>
      <w:b/>
      <w:sz w:val="24"/>
      <w:szCs w:val="24"/>
    </w:rPr>
  </w:style>
  <w:style w:type="character" w:customStyle="1" w:styleId="56">
    <w:name w:val="标题 7 字符"/>
    <w:basedOn w:val="45"/>
    <w:link w:val="8"/>
    <w:semiHidden/>
    <w:qFormat/>
    <w:uiPriority w:val="99"/>
    <w:rPr>
      <w:rFonts w:ascii="Times New Roman" w:hAnsi="Times New Roman" w:eastAsia="宋体" w:cs="Times New Roman"/>
      <w:b/>
      <w:sz w:val="24"/>
      <w:szCs w:val="24"/>
    </w:rPr>
  </w:style>
  <w:style w:type="character" w:customStyle="1" w:styleId="57">
    <w:name w:val="标题 8 字符"/>
    <w:basedOn w:val="45"/>
    <w:link w:val="9"/>
    <w:semiHidden/>
    <w:qFormat/>
    <w:uiPriority w:val="99"/>
    <w:rPr>
      <w:rFonts w:ascii="Arial" w:hAnsi="Arial" w:eastAsia="黑体" w:cs="Times New Roman"/>
      <w:sz w:val="24"/>
      <w:szCs w:val="24"/>
    </w:rPr>
  </w:style>
  <w:style w:type="character" w:customStyle="1" w:styleId="58">
    <w:name w:val="标题 9 字符"/>
    <w:basedOn w:val="45"/>
    <w:link w:val="10"/>
    <w:semiHidden/>
    <w:qFormat/>
    <w:uiPriority w:val="99"/>
    <w:rPr>
      <w:rFonts w:ascii="Arial" w:hAnsi="Arial" w:eastAsia="黑体" w:cs="Times New Roman"/>
      <w:szCs w:val="24"/>
    </w:rPr>
  </w:style>
  <w:style w:type="character" w:customStyle="1" w:styleId="59">
    <w:name w:val="已访问的超链接1"/>
    <w:basedOn w:val="45"/>
    <w:semiHidden/>
    <w:unhideWhenUsed/>
    <w:qFormat/>
    <w:uiPriority w:val="99"/>
    <w:rPr>
      <w:color w:val="800080"/>
      <w:u w:val="single"/>
    </w:rPr>
  </w:style>
  <w:style w:type="character" w:customStyle="1" w:styleId="60">
    <w:name w:val="脚注文本 字符"/>
    <w:basedOn w:val="45"/>
    <w:link w:val="33"/>
    <w:semiHidden/>
    <w:qFormat/>
    <w:uiPriority w:val="99"/>
    <w:rPr>
      <w:rFonts w:ascii="Times New Roman" w:hAnsi="Times New Roman" w:eastAsia="宋体" w:cs="Times New Roman"/>
      <w:sz w:val="18"/>
      <w:szCs w:val="18"/>
    </w:rPr>
  </w:style>
  <w:style w:type="character" w:customStyle="1" w:styleId="61">
    <w:name w:val="批注文字 Char"/>
    <w:basedOn w:val="45"/>
    <w:semiHidden/>
    <w:qFormat/>
    <w:uiPriority w:val="0"/>
  </w:style>
  <w:style w:type="character" w:customStyle="1" w:styleId="62">
    <w:name w:val="页眉 字符"/>
    <w:basedOn w:val="45"/>
    <w:link w:val="29"/>
    <w:qFormat/>
    <w:uiPriority w:val="99"/>
    <w:rPr>
      <w:rFonts w:ascii="Times New Roman" w:hAnsi="Times New Roman" w:eastAsia="宋体" w:cs="Times New Roman"/>
      <w:sz w:val="18"/>
      <w:szCs w:val="18"/>
    </w:rPr>
  </w:style>
  <w:style w:type="character" w:customStyle="1" w:styleId="63">
    <w:name w:val="页脚 字符"/>
    <w:basedOn w:val="45"/>
    <w:link w:val="28"/>
    <w:qFormat/>
    <w:uiPriority w:val="99"/>
    <w:rPr>
      <w:rFonts w:ascii="Times New Roman" w:hAnsi="Times New Roman" w:eastAsia="宋体" w:cs="Times New Roman"/>
      <w:kern w:val="0"/>
      <w:sz w:val="18"/>
      <w:szCs w:val="18"/>
    </w:rPr>
  </w:style>
  <w:style w:type="character" w:customStyle="1" w:styleId="64">
    <w:name w:val="尾注文本 字符"/>
    <w:basedOn w:val="45"/>
    <w:link w:val="26"/>
    <w:semiHidden/>
    <w:qFormat/>
    <w:uiPriority w:val="99"/>
    <w:rPr>
      <w:rFonts w:ascii="Times New Roman" w:hAnsi="Times New Roman" w:eastAsia="宋体" w:cs="Times New Roman"/>
      <w:szCs w:val="24"/>
    </w:rPr>
  </w:style>
  <w:style w:type="character" w:customStyle="1" w:styleId="65">
    <w:name w:val="标题 字符"/>
    <w:basedOn w:val="45"/>
    <w:link w:val="41"/>
    <w:qFormat/>
    <w:uiPriority w:val="10"/>
    <w:rPr>
      <w:rFonts w:ascii="Cambria" w:hAnsi="Cambria" w:eastAsia="宋体" w:cs="Times New Roman"/>
      <w:b/>
      <w:bCs/>
      <w:sz w:val="32"/>
      <w:szCs w:val="32"/>
    </w:rPr>
  </w:style>
  <w:style w:type="character" w:customStyle="1" w:styleId="66">
    <w:name w:val="正文文本 字符"/>
    <w:basedOn w:val="45"/>
    <w:link w:val="16"/>
    <w:semiHidden/>
    <w:qFormat/>
    <w:uiPriority w:val="99"/>
    <w:rPr>
      <w:rFonts w:ascii="Times New Roman" w:hAnsi="Times New Roman" w:eastAsia="宋体" w:cs="Times New Roman"/>
      <w:kern w:val="0"/>
      <w:sz w:val="24"/>
      <w:szCs w:val="24"/>
    </w:rPr>
  </w:style>
  <w:style w:type="character" w:customStyle="1" w:styleId="67">
    <w:name w:val="正文文本缩进 字符1"/>
    <w:basedOn w:val="45"/>
    <w:link w:val="17"/>
    <w:semiHidden/>
    <w:qFormat/>
    <w:uiPriority w:val="99"/>
    <w:rPr>
      <w:rFonts w:ascii="仿宋_GB2312" w:hAnsi="Times New Roman" w:eastAsia="仿宋_GB2312" w:cs="Times New Roman"/>
      <w:kern w:val="0"/>
      <w:sz w:val="32"/>
      <w:szCs w:val="20"/>
    </w:rPr>
  </w:style>
  <w:style w:type="character" w:customStyle="1" w:styleId="68">
    <w:name w:val="日期 字符"/>
    <w:basedOn w:val="45"/>
    <w:link w:val="24"/>
    <w:semiHidden/>
    <w:qFormat/>
    <w:uiPriority w:val="99"/>
    <w:rPr>
      <w:rFonts w:ascii="宋体" w:hAnsi="Courier New" w:eastAsia="宋体" w:cs="Times New Roman"/>
      <w:kern w:val="0"/>
      <w:sz w:val="20"/>
      <w:szCs w:val="21"/>
    </w:rPr>
  </w:style>
  <w:style w:type="character" w:customStyle="1" w:styleId="69">
    <w:name w:val="正文文本 2 字符"/>
    <w:basedOn w:val="45"/>
    <w:link w:val="38"/>
    <w:semiHidden/>
    <w:qFormat/>
    <w:uiPriority w:val="99"/>
    <w:rPr>
      <w:rFonts w:ascii="Times New Roman" w:hAnsi="Times New Roman" w:eastAsia="宋体" w:cs="Times New Roman"/>
      <w:kern w:val="0"/>
      <w:sz w:val="20"/>
      <w:szCs w:val="24"/>
    </w:rPr>
  </w:style>
  <w:style w:type="character" w:customStyle="1" w:styleId="70">
    <w:name w:val="正文文本 3 字符"/>
    <w:basedOn w:val="45"/>
    <w:link w:val="15"/>
    <w:semiHidden/>
    <w:qFormat/>
    <w:uiPriority w:val="99"/>
    <w:rPr>
      <w:rFonts w:ascii="Times New Roman" w:hAnsi="Times New Roman" w:eastAsia="宋体" w:cs="Times New Roman"/>
      <w:b/>
      <w:bCs/>
      <w:kern w:val="0"/>
      <w:sz w:val="24"/>
      <w:szCs w:val="24"/>
    </w:rPr>
  </w:style>
  <w:style w:type="character" w:customStyle="1" w:styleId="71">
    <w:name w:val="正文文本缩进 2 字符"/>
    <w:basedOn w:val="45"/>
    <w:link w:val="25"/>
    <w:semiHidden/>
    <w:qFormat/>
    <w:uiPriority w:val="99"/>
    <w:rPr>
      <w:rFonts w:ascii="Times New Roman" w:hAnsi="Times New Roman" w:eastAsia="宋体" w:cs="Times New Roman"/>
      <w:kern w:val="0"/>
      <w:sz w:val="32"/>
      <w:szCs w:val="20"/>
    </w:rPr>
  </w:style>
  <w:style w:type="character" w:customStyle="1" w:styleId="72">
    <w:name w:val="正文文本缩进 3 字符"/>
    <w:basedOn w:val="45"/>
    <w:link w:val="35"/>
    <w:semiHidden/>
    <w:qFormat/>
    <w:uiPriority w:val="99"/>
    <w:rPr>
      <w:rFonts w:ascii="Times New Roman" w:hAnsi="Times New Roman" w:eastAsia="宋体" w:cs="Times New Roman"/>
      <w:kern w:val="0"/>
      <w:sz w:val="16"/>
      <w:szCs w:val="16"/>
    </w:rPr>
  </w:style>
  <w:style w:type="character" w:customStyle="1" w:styleId="73">
    <w:name w:val="纯文本 Char"/>
    <w:basedOn w:val="45"/>
    <w:semiHidden/>
    <w:qFormat/>
    <w:uiPriority w:val="0"/>
    <w:rPr>
      <w:rFonts w:ascii="宋体" w:hAnsi="Courier New" w:eastAsia="宋体" w:cs="Courier New"/>
      <w:szCs w:val="21"/>
    </w:rPr>
  </w:style>
  <w:style w:type="character" w:customStyle="1" w:styleId="74">
    <w:name w:val="批注主题 字符"/>
    <w:basedOn w:val="61"/>
    <w:link w:val="42"/>
    <w:semiHidden/>
    <w:qFormat/>
    <w:uiPriority w:val="99"/>
    <w:rPr>
      <w:rFonts w:ascii="Times New Roman" w:hAnsi="Times New Roman" w:eastAsia="宋体" w:cs="Times New Roman"/>
      <w:b/>
      <w:bCs/>
      <w:szCs w:val="24"/>
    </w:rPr>
  </w:style>
  <w:style w:type="character" w:customStyle="1" w:styleId="75">
    <w:name w:val="批注框文本 字符"/>
    <w:basedOn w:val="45"/>
    <w:link w:val="27"/>
    <w:semiHidden/>
    <w:qFormat/>
    <w:uiPriority w:val="99"/>
    <w:rPr>
      <w:rFonts w:ascii="Times New Roman" w:hAnsi="Times New Roman" w:eastAsia="宋体" w:cs="Times New Roman"/>
      <w:kern w:val="0"/>
      <w:sz w:val="18"/>
      <w:szCs w:val="18"/>
    </w:rPr>
  </w:style>
  <w:style w:type="paragraph" w:styleId="76">
    <w:name w:val="List Paragraph"/>
    <w:basedOn w:val="1"/>
    <w:qFormat/>
    <w:uiPriority w:val="34"/>
    <w:pPr>
      <w:ind w:firstLine="420" w:firstLineChars="200"/>
    </w:pPr>
    <w:rPr>
      <w:rFonts w:ascii="Times New Roman" w:hAnsi="Times New Roman" w:eastAsia="宋体" w:cs="Times New Roman"/>
      <w:szCs w:val="24"/>
    </w:rPr>
  </w:style>
  <w:style w:type="paragraph" w:customStyle="1" w:styleId="77">
    <w:name w:val="正文段"/>
    <w:basedOn w:val="1"/>
    <w:qFormat/>
    <w:uiPriority w:val="99"/>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78">
    <w:name w:val="表内文字"/>
    <w:basedOn w:val="1"/>
    <w:qFormat/>
    <w:uiPriority w:val="99"/>
    <w:pPr>
      <w:snapToGrid w:val="0"/>
      <w:spacing w:before="50" w:after="50"/>
      <w:jc w:val="center"/>
    </w:pPr>
    <w:rPr>
      <w:rFonts w:ascii="仿宋_GB2312" w:hAnsi="宋体" w:eastAsia="仿宋_GB2312" w:cs="Times New Roman"/>
      <w:b/>
      <w:color w:val="000000"/>
      <w:sz w:val="32"/>
      <w:szCs w:val="32"/>
    </w:rPr>
  </w:style>
  <w:style w:type="paragraph" w:customStyle="1" w:styleId="79">
    <w:name w:val="默认段落字体 Para Char Char Char Char Char Char Char Char Char1 Char Char Char Char"/>
    <w:basedOn w:val="1"/>
    <w:qFormat/>
    <w:uiPriority w:val="99"/>
    <w:rPr>
      <w:rFonts w:ascii="Tahoma" w:hAnsi="Tahoma" w:eastAsia="宋体" w:cs="Times New Roman"/>
      <w:sz w:val="24"/>
      <w:szCs w:val="20"/>
    </w:rPr>
  </w:style>
  <w:style w:type="paragraph" w:customStyle="1" w:styleId="80">
    <w:name w:val="xl22"/>
    <w:basedOn w:val="1"/>
    <w:qFormat/>
    <w:uiPriority w:val="99"/>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81">
    <w:name w:val="样式"/>
    <w:qFormat/>
    <w:uiPriority w:val="99"/>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82">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83">
    <w:name w:val="Table Paragraph"/>
    <w:basedOn w:val="1"/>
    <w:qFormat/>
    <w:uiPriority w:val="1"/>
    <w:pPr>
      <w:jc w:val="left"/>
    </w:pPr>
    <w:rPr>
      <w:rFonts w:ascii="Calibri" w:hAnsi="Calibri" w:eastAsia="宋体" w:cs="Times New Roman"/>
      <w:kern w:val="0"/>
      <w:sz w:val="22"/>
      <w:lang w:eastAsia="en-US"/>
    </w:rPr>
  </w:style>
  <w:style w:type="paragraph" w:customStyle="1" w:styleId="84">
    <w:name w:val="Char1"/>
    <w:basedOn w:val="1"/>
    <w:qFormat/>
    <w:uiPriority w:val="99"/>
    <w:rPr>
      <w:rFonts w:ascii="Times New Roman" w:hAnsi="Times New Roman" w:eastAsia="宋体" w:cs="Times New Roman"/>
      <w:szCs w:val="21"/>
    </w:rPr>
  </w:style>
  <w:style w:type="paragraph" w:customStyle="1" w:styleId="85">
    <w:name w:val="正文首行缩进两字符"/>
    <w:basedOn w:val="1"/>
    <w:qFormat/>
    <w:uiPriority w:val="99"/>
    <w:pPr>
      <w:spacing w:line="360" w:lineRule="auto"/>
      <w:ind w:firstLine="200" w:firstLineChars="200"/>
    </w:pPr>
    <w:rPr>
      <w:rFonts w:ascii="Times New Roman" w:hAnsi="Times New Roman" w:eastAsia="宋体" w:cs="Times New Roman"/>
      <w:szCs w:val="24"/>
    </w:rPr>
  </w:style>
  <w:style w:type="paragraph" w:customStyle="1" w:styleId="86">
    <w:name w:val="表格"/>
    <w:basedOn w:val="1"/>
    <w:qFormat/>
    <w:uiPriority w:val="99"/>
    <w:pPr>
      <w:spacing w:line="400" w:lineRule="exact"/>
    </w:pPr>
    <w:rPr>
      <w:rFonts w:ascii="Times New Roman" w:hAnsi="Times New Roman" w:eastAsia="宋体" w:cs="Times New Roman"/>
      <w:sz w:val="24"/>
      <w:szCs w:val="24"/>
    </w:rPr>
  </w:style>
  <w:style w:type="paragraph" w:customStyle="1" w:styleId="87">
    <w:name w:val="样式 首行缩进:  2 字符"/>
    <w:basedOn w:val="1"/>
    <w:qFormat/>
    <w:uiPriority w:val="99"/>
    <w:pPr>
      <w:spacing w:line="400" w:lineRule="exact"/>
      <w:ind w:firstLine="200" w:firstLineChars="200"/>
    </w:pPr>
    <w:rPr>
      <w:rFonts w:ascii="Times New Roman" w:hAnsi="Times New Roman" w:eastAsia="宋体" w:cs="宋体"/>
      <w:sz w:val="24"/>
      <w:szCs w:val="24"/>
    </w:rPr>
  </w:style>
  <w:style w:type="paragraph" w:customStyle="1" w:styleId="88">
    <w:name w:val="纯文本1"/>
    <w:basedOn w:val="1"/>
    <w:qFormat/>
    <w:uiPriority w:val="99"/>
    <w:rPr>
      <w:rFonts w:ascii="宋体" w:hAnsi="Courier New" w:eastAsia="宋体" w:cs="Century"/>
      <w:szCs w:val="21"/>
    </w:rPr>
  </w:style>
  <w:style w:type="paragraph" w:customStyle="1" w:styleId="89">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4"/>
      <w:szCs w:val="20"/>
    </w:rPr>
  </w:style>
  <w:style w:type="character" w:customStyle="1" w:styleId="90">
    <w:name w:val="标题 5 字符"/>
    <w:link w:val="5"/>
    <w:semiHidden/>
    <w:qFormat/>
    <w:locked/>
    <w:uiPriority w:val="0"/>
    <w:rPr>
      <w:rFonts w:ascii="Times New Roman" w:hAnsi="Times New Roman" w:eastAsia="宋体" w:cs="Times New Roman"/>
      <w:b/>
      <w:sz w:val="28"/>
      <w:szCs w:val="24"/>
    </w:rPr>
  </w:style>
  <w:style w:type="character" w:customStyle="1" w:styleId="91">
    <w:name w:val="批注文字 字符1"/>
    <w:link w:val="14"/>
    <w:qFormat/>
    <w:locked/>
    <w:uiPriority w:val="99"/>
    <w:rPr>
      <w:rFonts w:ascii="Times New Roman" w:hAnsi="Times New Roman" w:eastAsia="宋体" w:cs="Times New Roman"/>
      <w:szCs w:val="24"/>
    </w:rPr>
  </w:style>
  <w:style w:type="character" w:customStyle="1" w:styleId="92">
    <w:name w:val="纯文本 字符2"/>
    <w:link w:val="22"/>
    <w:semiHidden/>
    <w:qFormat/>
    <w:locked/>
    <w:uiPriority w:val="99"/>
    <w:rPr>
      <w:rFonts w:ascii="宋体" w:hAnsi="Courier New" w:eastAsia="宋体" w:cs="Times New Roman"/>
      <w:kern w:val="0"/>
      <w:sz w:val="20"/>
      <w:szCs w:val="21"/>
    </w:rPr>
  </w:style>
  <w:style w:type="character" w:customStyle="1" w:styleId="93">
    <w:name w:val="纯文本 字符1"/>
    <w:qFormat/>
    <w:uiPriority w:val="0"/>
    <w:rPr>
      <w:rFonts w:hint="eastAsia" w:ascii="宋体" w:hAnsi="Courier New" w:eastAsia="宋体"/>
    </w:rPr>
  </w:style>
  <w:style w:type="character" w:customStyle="1" w:styleId="94">
    <w:name w:val="批注文字 Char1"/>
    <w:semiHidden/>
    <w:qFormat/>
    <w:locked/>
    <w:uiPriority w:val="0"/>
    <w:rPr>
      <w:rFonts w:hint="default" w:ascii="Times New Roman" w:hAnsi="Times New Roman" w:cs="Times New Roman"/>
      <w:kern w:val="2"/>
      <w:sz w:val="21"/>
      <w:szCs w:val="24"/>
    </w:rPr>
  </w:style>
  <w:style w:type="character" w:customStyle="1" w:styleId="95">
    <w:name w:val="headline-content4"/>
    <w:qFormat/>
    <w:uiPriority w:val="0"/>
  </w:style>
  <w:style w:type="character" w:customStyle="1" w:styleId="96">
    <w:name w:val="批注文字 字符"/>
    <w:qFormat/>
    <w:uiPriority w:val="0"/>
    <w:rPr>
      <w:rFonts w:hint="default" w:ascii="Times New Roman" w:hAnsi="Times New Roman" w:cs="Times New Roman"/>
      <w:kern w:val="2"/>
      <w:sz w:val="21"/>
      <w:szCs w:val="24"/>
    </w:rPr>
  </w:style>
  <w:style w:type="character" w:customStyle="1" w:styleId="97">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98">
    <w:name w:val="标题 1 字符"/>
    <w:qFormat/>
    <w:uiPriority w:val="9"/>
    <w:rPr>
      <w:rFonts w:hint="default" w:ascii="Times New Roman" w:hAnsi="Times New Roman" w:eastAsia="宋体" w:cs="Times New Roman"/>
      <w:b/>
      <w:bCs/>
      <w:kern w:val="44"/>
      <w:sz w:val="44"/>
      <w:szCs w:val="44"/>
    </w:rPr>
  </w:style>
  <w:style w:type="character" w:customStyle="1" w:styleId="99">
    <w:name w:val="apple-style-span"/>
    <w:qFormat/>
    <w:uiPriority w:val="0"/>
  </w:style>
  <w:style w:type="character" w:customStyle="1" w:styleId="100">
    <w:name w:val="正文文本缩进 字符"/>
    <w:qFormat/>
    <w:uiPriority w:val="0"/>
    <w:rPr>
      <w:rFonts w:hint="eastAsia" w:ascii="仿宋_GB2312" w:hAnsi="Times New Roman" w:eastAsia="仿宋_GB2312" w:cs="Times New Roman"/>
      <w:sz w:val="32"/>
      <w:szCs w:val="20"/>
    </w:rPr>
  </w:style>
  <w:style w:type="character" w:customStyle="1" w:styleId="101">
    <w:name w:val="case31"/>
    <w:qFormat/>
    <w:uiPriority w:val="0"/>
    <w:rPr>
      <w:rFonts w:hint="default"/>
      <w:sz w:val="21"/>
      <w:szCs w:val="21"/>
    </w:rPr>
  </w:style>
  <w:style w:type="character" w:customStyle="1" w:styleId="102">
    <w:name w:val="纯文本 字符"/>
    <w:qFormat/>
    <w:uiPriority w:val="0"/>
    <w:rPr>
      <w:rFonts w:hint="eastAsia" w:ascii="宋体" w:hAnsi="Courier New" w:eastAsia="宋体" w:cs="Courier New"/>
      <w:szCs w:val="21"/>
    </w:rPr>
  </w:style>
  <w:style w:type="character" w:customStyle="1" w:styleId="103">
    <w:name w:val="textcontents"/>
    <w:qFormat/>
    <w:uiPriority w:val="0"/>
  </w:style>
  <w:style w:type="character" w:customStyle="1" w:styleId="104">
    <w:name w:val="普通文字 Char Char2"/>
    <w:qFormat/>
    <w:uiPriority w:val="0"/>
    <w:rPr>
      <w:rFonts w:hint="eastAsia" w:ascii="宋体" w:hAnsi="Courier New" w:eastAsia="宋体"/>
      <w:kern w:val="2"/>
      <w:sz w:val="21"/>
      <w:lang w:val="en-US" w:eastAsia="zh-CN" w:bidi="ar-SA"/>
    </w:rPr>
  </w:style>
  <w:style w:type="character" w:customStyle="1" w:styleId="105">
    <w:name w:val="纯文本 Char1"/>
    <w:qFormat/>
    <w:uiPriority w:val="0"/>
    <w:rPr>
      <w:rFonts w:hint="eastAsia" w:ascii="宋体" w:hAnsi="Courier New" w:eastAsia="宋体" w:cs="Courier New"/>
      <w:szCs w:val="21"/>
    </w:rPr>
  </w:style>
  <w:style w:type="character" w:customStyle="1" w:styleId="106">
    <w:name w:val="标题 5 Char1"/>
    <w:qFormat/>
    <w:uiPriority w:val="0"/>
    <w:rPr>
      <w:b/>
      <w:kern w:val="2"/>
      <w:sz w:val="28"/>
      <w:szCs w:val="24"/>
    </w:rPr>
  </w:style>
  <w:style w:type="character" w:customStyle="1" w:styleId="107">
    <w:name w:val="批注文字 字符2"/>
    <w:qFormat/>
    <w:uiPriority w:val="0"/>
    <w:rPr>
      <w:rFonts w:hint="default" w:ascii="Times New Roman" w:hAnsi="Times New Roman" w:cs="Times New Roman"/>
      <w:kern w:val="2"/>
      <w:sz w:val="21"/>
      <w:szCs w:val="24"/>
    </w:rPr>
  </w:style>
  <w:style w:type="table" w:customStyle="1" w:styleId="108">
    <w:name w:val="Table Normal"/>
    <w:semiHidden/>
    <w:qFormat/>
    <w:uiPriority w:val="2"/>
    <w:pPr>
      <w:widowControl w:val="0"/>
    </w:pPr>
    <w:rPr>
      <w:rFonts w:ascii="Calibri" w:hAnsi="Calibri" w:eastAsia="Times New Roman"/>
      <w:sz w:val="22"/>
      <w:lang w:eastAsia="en-US"/>
    </w:rPr>
    <w:tblPr>
      <w:tblCellMar>
        <w:top w:w="0" w:type="dxa"/>
        <w:left w:w="0" w:type="dxa"/>
        <w:bottom w:w="0" w:type="dxa"/>
        <w:right w:w="0" w:type="dxa"/>
      </w:tblCellMar>
    </w:tblPr>
  </w:style>
  <w:style w:type="table" w:customStyle="1" w:styleId="109">
    <w:name w:val="网格型1"/>
    <w:basedOn w:val="43"/>
    <w:qFormat/>
    <w:uiPriority w:val="5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0">
    <w:name w:val="font61"/>
    <w:basedOn w:val="45"/>
    <w:qFormat/>
    <w:uiPriority w:val="0"/>
    <w:rPr>
      <w:rFonts w:hint="eastAsia" w:ascii="宋体" w:hAnsi="宋体" w:eastAsia="宋体" w:cs="宋体"/>
      <w:color w:val="000000"/>
      <w:sz w:val="22"/>
      <w:szCs w:val="22"/>
      <w:u w:val="none"/>
    </w:rPr>
  </w:style>
  <w:style w:type="character" w:customStyle="1" w:styleId="111">
    <w:name w:val="font51"/>
    <w:basedOn w:val="45"/>
    <w:qFormat/>
    <w:uiPriority w:val="0"/>
    <w:rPr>
      <w:rFonts w:hint="eastAsia" w:ascii="宋体" w:hAnsi="宋体" w:eastAsia="宋体" w:cs="宋体"/>
      <w:color w:val="000000"/>
      <w:sz w:val="21"/>
      <w:szCs w:val="21"/>
      <w:u w:val="none"/>
    </w:rPr>
  </w:style>
  <w:style w:type="character" w:customStyle="1" w:styleId="112">
    <w:name w:val="font11"/>
    <w:basedOn w:val="45"/>
    <w:qFormat/>
    <w:uiPriority w:val="0"/>
    <w:rPr>
      <w:rFonts w:hint="default" w:ascii="Times New Roman" w:hAnsi="Times New Roman" w:cs="Times New Roman"/>
      <w:color w:val="000000"/>
      <w:sz w:val="21"/>
      <w:szCs w:val="21"/>
      <w:u w:val="none"/>
    </w:rPr>
  </w:style>
  <w:style w:type="character" w:customStyle="1" w:styleId="113">
    <w:name w:val="font31"/>
    <w:basedOn w:val="45"/>
    <w:qFormat/>
    <w:uiPriority w:val="0"/>
    <w:rPr>
      <w:rFonts w:hint="default" w:ascii="Times New Roman" w:hAnsi="Times New Roman" w:cs="Times New Roman"/>
      <w:color w:val="000000"/>
      <w:sz w:val="21"/>
      <w:szCs w:val="21"/>
      <w:u w:val="none"/>
    </w:rPr>
  </w:style>
  <w:style w:type="character" w:customStyle="1" w:styleId="114">
    <w:name w:val="font41"/>
    <w:basedOn w:val="4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12</Pages>
  <Words>7012</Words>
  <Characters>7811</Characters>
  <Lines>31</Lines>
  <Paragraphs>9</Paragraphs>
  <TotalTime>25</TotalTime>
  <ScaleCrop>false</ScaleCrop>
  <LinksUpToDate>false</LinksUpToDate>
  <CharactersWithSpaces>7852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2022-01-24T10:21:00Z</dcterms:created>
  <dc:creator>Echo</dc:creator>
  <cp:lastModifiedBy>张凯</cp:lastModifiedBy>
  <dcterms:modified xsi:type="dcterms:W3CDTF">2022-12-30T08:09:18Z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4D085E061ACD47039B6A0698204F5B23</vt:lpwstr>
  </property>
</Properties>
</file>