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设备名称：中高端彩色多普勒超声波诊断仪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3015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到货时间短的供应商优先考虑。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tbl>
      <w:tblPr>
        <w:tblStyle w:val="7"/>
        <w:tblW w:w="89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货物需求一览表及技术规格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 w:val="24"/>
                <w:szCs w:val="24"/>
              </w:rPr>
              <w:t>一、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  <w:lang w:val="en-US" w:eastAsia="zh-Hans"/>
              </w:rPr>
              <w:t>中高端</w:t>
            </w: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  <w:t>彩色多普勒超声波诊断仪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 w:val="24"/>
                <w:szCs w:val="24"/>
              </w:rPr>
              <w:t>二、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  <w:t>数量：</w:t>
            </w: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  <w:lang w:val="en-US" w:eastAsia="zh-Hans"/>
              </w:rPr>
              <w:t>两</w:t>
            </w:r>
            <w:r>
              <w:rPr>
                <w:rFonts w:hint="default"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 w:val="24"/>
                <w:szCs w:val="24"/>
              </w:rPr>
              <w:t>三、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  <w:t>使用单位：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 w:val="24"/>
                <w:szCs w:val="24"/>
              </w:rPr>
              <w:t>四、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  <w:t>设备用途及说明：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高端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 w:val="22"/>
              </w:rPr>
              <w:t>全身应用型彩色多普勒超声波诊断系统，主要用于腹部、心脏、妇产、泌尿、浅表小器官与血管、儿科、肌骨神经、介入诊疗、高端体检及临床学术研究。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 w:val="24"/>
                <w:szCs w:val="24"/>
              </w:rPr>
              <w:t>五、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4"/>
                <w:szCs w:val="24"/>
              </w:rPr>
              <w:t>主要规格及系统概述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5.1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主机系统性能概括：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5.1.1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≥23.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英寸宽屏高分辨率监视器，具备万向关节臂设计，可实现上下左右前后任意方位调节，可前后折叠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5.1.2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液晶触摸屏≥</w:t>
            </w:r>
            <w:r>
              <w:rPr>
                <w:rFonts w:hint="eastAsia" w:ascii="等线" w:hAnsi="等线" w:eastAsia="等线" w:cs="Calibri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英寸，支持界面编辑及滑动翻页功能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5.1.3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操作面板支持调节高度、前后左右位置及旋转，支持抽拉式式键盘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5.1.4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原始数据储存，可对回放图像进行多种参数调节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5.1.5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采用全域聚焦成像技术，图像无聚焦点或聚焦带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5.1.6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智能像素优化技术：提高图像整体空间分辨率、对比分辨率和信噪比，可调节开关。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5.1.7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耦合剂加热装置，温度可调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5.1.8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智能互联功能：超声主机可与手机或平板电脑等移动终端相连接，使用移动设备代替面板及触摸屏按键完成冻结、检查模式切换、测量、拍照片等操作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5.1.9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影像互联功能：超声主机可与手机或平板电脑等移动终端相连接，由移动端所拍摄的图片可瞬时上传至超声设备，单幅显示或与超声、超声动态图像同屏对照显示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5.2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二维灰阶成像单元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5.2.1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宽频可变频成像技术：灰阶、谐波、彩色、频谱支持独立变频，具体中心频率数值可视可调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5.2.2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斑点噪声抑制技术：支持所有探头，多级可调（并有专门妇产科、和肌骨专用选项），支持3D/4D、CFM/PDI、宽景成像、造影成像等技术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5.2.3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空间复合成像：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1）支持所有凸阵、线阵及容积探头，具有帧平均、帧速率等多种可调节参数2）具有最大、平均、混合、运动校正四种复合模式，模式中具有三档开角可调节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5.2.4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组织谐波成像：可用于全部成像探头，频率可视可调，中心频率数值可显示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5.2.5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组织声束矫正技术：适用于所有凸阵及线阵探头，≥7级可调，可显示具体数值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5.2.6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宽景成像：扫描长度≥9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cm，支持所有成像探头，可与空间复合成像功能联合使用，自动检测扫描方向，支持旋转及测量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5.3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先进成像技术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Segoe UI Emoji" w:hAnsi="Segoe UI Emoji" w:eastAsia="Times New Roman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Segoe UI Emoj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Segoe UI Emoji" w:eastAsia="幼圆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灰阶血流成像技术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非多普勒成像原理，真实反应血管内血流状态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无取样框、无角度依赖，清晰显示血流动力学状态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具有捕捉模式，把多帧图像累积到一起，按血流灌注先后顺序动态呈现血管的空间分布状态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可去掉血流周围组织回声背景，单独显示血流；也可支持组织+血流双幅显示或叠加显示的方式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支持凸阵/高频凸阵、小微凸、线阵/高频线阵、面阵、相控阵及介入探头等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超微细血流成像技术，显示超微细血流及低速血流信号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可支持腹部及小器官应用，支持≥4支线阵探头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具备多级别背景模式选择，≥7级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支持累积模式，累积级别可调控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支持与B模式同屏对照显示，支持与实时拍摄的情景照片同屏对照显示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 w:themeColor="text1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 w:themeColor="text1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 w:themeColor="text1"/>
                <w:kern w:val="0"/>
                <w:szCs w:val="21"/>
              </w:rPr>
              <w:t>2</w:t>
            </w:r>
            <w:r>
              <w:rPr>
                <w:rFonts w:hint="eastAsia" w:ascii="幼圆" w:hAnsi="Calibri" w:eastAsia="幼圆" w:cs="Calibri"/>
                <w:color w:val="000000" w:themeColor="text1"/>
                <w:kern w:val="0"/>
                <w:szCs w:val="21"/>
              </w:rPr>
              <w:t>.5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 w:themeColor="text1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 w:themeColor="text1"/>
                <w:kern w:val="0"/>
                <w:szCs w:val="21"/>
              </w:rPr>
              <w:t>支持立体显示模式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 w:themeColor="text1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 w:themeColor="text1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 w:themeColor="text1"/>
                <w:kern w:val="0"/>
                <w:szCs w:val="21"/>
              </w:rPr>
              <w:t>2</w:t>
            </w:r>
            <w:r>
              <w:rPr>
                <w:rFonts w:hint="eastAsia" w:ascii="幼圆" w:hAnsi="Calibri" w:eastAsia="幼圆" w:cs="Calibri"/>
                <w:color w:val="000000" w:themeColor="text1"/>
                <w:kern w:val="0"/>
                <w:szCs w:val="21"/>
              </w:rPr>
              <w:t>.6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 w:themeColor="text1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 w:themeColor="text1"/>
                <w:kern w:val="0"/>
                <w:szCs w:val="21"/>
              </w:rPr>
              <w:t>超微细血流成像技术支持在造影模式下使用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 w:themeColor="text1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 w:themeColor="text1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 w:themeColor="text1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 w:themeColor="text1"/>
                <w:kern w:val="0"/>
                <w:szCs w:val="21"/>
              </w:rPr>
              <w:t>二维立体血流显示技术；二维血流显示达到三维显示效果，给与临床更加直观及敏感的图像。立体程度可调节，可联合超低速血流技术和高穿透技术成像，并可支持测速。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穿刺针增强显示功能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可独立调整穿刺针的显示增益，不影响背景图像质量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多角度可调，帮助清晰显示穿刺路径，提高穿刺活检及介入治疗操作成功率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kern w:val="0"/>
                <w:szCs w:val="21"/>
              </w:rPr>
              <w:t>5.3.</w:t>
            </w:r>
            <w:r>
              <w:rPr>
                <w:rFonts w:ascii="幼圆" w:hAnsi="Calibri" w:eastAsia="幼圆" w:cs="Calibri"/>
                <w:kern w:val="0"/>
                <w:szCs w:val="21"/>
              </w:rPr>
              <w:t>5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kern w:val="0"/>
                <w:szCs w:val="21"/>
              </w:rPr>
              <w:t>智能多普勒技术：能够快速识别血管结构，自动调整彩色取样框位置、角度，调整频谱取样容积和取样角度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5.4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高级成像技术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Cs w:val="21"/>
              </w:rPr>
              <w:t>5.4.</w:t>
            </w:r>
            <w:r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Cs w:val="21"/>
              </w:rPr>
              <w:t>应变式弹性成像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5.4.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具备成像质量监控色棒和操作动作曲线，指导医生操作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5.4.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可支持凸阵、线阵/超高频线阵、腔内、面阵等探头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5.4.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具备弹性量化分析：动态弹性图定量分析，可同屏提供≥8个感兴趣区的硬度值和≥7个感兴趣区与参照区的硬度比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Cs w:val="21"/>
              </w:rPr>
              <w:t>5.4.</w:t>
            </w:r>
            <w:r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支持心肌组织多普勒速度成像，并且在组织多普勒的同时支持解剖 M型和曲线解剖M型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Cs w:val="21"/>
              </w:rPr>
              <w:t>5.4.</w:t>
            </w:r>
            <w:r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Cs w:val="21"/>
              </w:rPr>
              <w:t>智能辅助功能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5.4.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智能血管检查技术：一键自动识别血管位置、自动启动彩色多普勒功能、自动调整彩色取样框位置、角度，自动启动频谱多普勒、调整频谱取样容积及角度、自动优化频谱并自动测量。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Cs w:val="21"/>
              </w:rPr>
              <w:t>测量和分析（B型、M型、频谱多普勒、彩色模式）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5.5.1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一般测量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5.5.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心脏功能测量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5.5.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多普勒血流测量与分析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5.5.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外周血管测量与分析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5.5.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泌尿科测量与分析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5.5.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多普勒频谱自动包络、测量与计算，参数由客户自由选择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5.6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图像存储与(电影)回放重现单元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5.7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输入/输出信号：HDMI、USB等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5.8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连通性：医学数字图像和通信DICOM 3.0版接口部件，支持压缩和高清DICOM图像传输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5.9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超声图像存档与病案管理系统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5.9.1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固态硬盘容量≥1TB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5.9.2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一体化剪帖板：(在屏幕上)可以存储和回放动态及静态图像，图像大小有3种可调；在剪贴板上可以直接进行图像删除、转存或进入病案系统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5.9.3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USB一键快速存储功能，只需一个按键一步操作即可把屏幕上的图像存至U盘、移动硬盘或者其它USB装置。USB接口支持U盘或移动硬盘快速存储屏幕上的图像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六、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技术参数要求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Cs w:val="21"/>
              </w:rPr>
              <w:t>6.1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Cs w:val="21"/>
              </w:rPr>
              <w:t>系统通用功能：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6.1.1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监视器≥23.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英寸高分辨率监视器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6.1.2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扫描方式：逐行扫描，高分辨率，全方位关节臂旋转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6.1.3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探头接口≥4 个可激活的探头接口（不包括笔式探头接口）均为无针触点式大接口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Cs w:val="21"/>
              </w:rPr>
              <w:t>探头规格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6.2.1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频率：无针触点式宽频变频探头，所有探头及所有检查模式要有明确的中心频率显示，实现二维、谐波、彩色、多普勒频率独立可调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6.2.2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工作频率范围可在1-16MHz之间选择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6.2.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腹部凸阵探头：超声频率1.0-6.0MHz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6.2.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线阵探头：超声频率</w:t>
            </w:r>
            <w:r>
              <w:rPr>
                <w:rFonts w:hint="default" w:ascii="幼圆" w:hAnsi="Calibri" w:eastAsia="幼圆" w:cs="Calibri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.0-1</w:t>
            </w:r>
            <w:r>
              <w:rPr>
                <w:rFonts w:hint="default" w:ascii="幼圆" w:hAnsi="Calibri" w:eastAsia="幼圆" w:cs="Calibri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.0MHz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6.2.</w:t>
            </w: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成人相控阵探头：超声频率1.0-5.0MHz，扫描角度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120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6.3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二维灰阶显示主要参数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6.3.1.1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凸阵探头，18cm深度，全视野，最高线密度下，二维帧频≥58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6.3.1.2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凸阵探头，18cm深度，全视野，最高线密度下，彩色帧频≥16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6.3.1.3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相控阵探头，18cm 深度，扫描角度 85°，最高线密度下，二维帧频 ≥69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6.3.1.4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相控阵探头，18cm 深度，扫描角度 85°，最高线密度下，彩色帧频 ≥31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kern w:val="0"/>
                <w:szCs w:val="21"/>
              </w:rPr>
              <w:t>6.3.2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kern w:val="0"/>
                <w:szCs w:val="21"/>
              </w:rPr>
              <w:t>回放重现： 灰阶图像回放≥1000幅、回放时间≥30秒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6.3.3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预设条件针对不同的检查脏器，预置最佳化图像的检查条件，减少操作时的调节，及常用所需的外部调节及组合调节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6.3.4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增益调节：B/M可独立调节，STC分段≥8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6.3.5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扫描深度≥50cm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6.4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频谱多普勒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6.4.1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方式：PW，CW，HPRF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6.4.2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多普勒发射频率可视可调，中心频率明确显示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6.4.3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PWD：血流速度≥15m/s；CWD：血流速度≥20m/s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6.4.4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最低测量速度：≤1mm/s （非噪声信号）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6.4.5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PW取样容积范围：0.1cm-2cm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6.5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彩色多普勒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6.5.1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显示方式：速度方差显示、能量显示、速度显示、方差显示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6.5.2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具有双同步/三同步显示（B/D/CFM）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6.5.3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显示位置调整：线阵扫描感兴趣的图像范围：-20° ~ +20°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6.5.4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彩色多普勒能量图 (PDI)，彩色方向性能量图（DPDI）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6.6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超声功率输出调节：B/M、PWD、Color Doppler输出功率可调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七、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幼圆" w:hAnsi="Calibri" w:eastAsia="幼圆" w:cs="Calibri"/>
                <w:b/>
                <w:bCs/>
                <w:color w:val="000000"/>
                <w:kern w:val="0"/>
                <w:sz w:val="22"/>
              </w:rPr>
              <w:t>技术培训要求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现场培训：卖方应提供现场技术培训，保证使用人员正常操作设备各种功能。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ascii="幼圆" w:hAnsi="Calibri" w:eastAsia="幼圆" w:cs="Calibri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7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幼圆" w:hAnsi="Calibri" w:eastAsia="幼圆" w:cs="Calibri"/>
                <w:color w:val="000000"/>
                <w:kern w:val="0"/>
                <w:szCs w:val="21"/>
              </w:rPr>
            </w:pPr>
            <w:r>
              <w:rPr>
                <w:rFonts w:hint="eastAsia" w:ascii="幼圆" w:hAnsi="Calibri" w:eastAsia="幼圆" w:cs="Calibri"/>
                <w:color w:val="000000"/>
                <w:kern w:val="0"/>
                <w:szCs w:val="21"/>
              </w:rPr>
              <w:t>网络培训：厂家有专门为用户开放的集培训、学习、交流于一体的多功能网站。在该网站上，用户能学习各系统超声应用知识和设备操作技能，了解到最新的专业动态和活动，还可以在论坛里交流技术、讨论病例。该网站必须具有微信版。</w:t>
            </w:r>
          </w:p>
        </w:tc>
      </w:tr>
    </w:tbl>
    <w:p/>
    <w:p/>
    <w:tbl>
      <w:tblPr>
        <w:tblStyle w:val="7"/>
        <w:tblpPr w:leftFromText="180" w:rightFromText="180" w:vertAnchor="text" w:horzAnchor="page" w:tblpX="1525" w:tblpY="566"/>
        <w:tblOverlap w:val="never"/>
        <w:tblW w:w="90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4714"/>
        <w:gridCol w:w="3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32"/>
                <w:szCs w:val="32"/>
                <w:lang w:val="en-US" w:eastAsia="zh-Hans"/>
              </w:rPr>
              <w:t>配置清单</w:t>
            </w: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32"/>
                <w:szCs w:val="32"/>
                <w:lang w:val="en-US" w:eastAsia="zh-CN"/>
              </w:rPr>
              <w:t>（至少包含）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kern w:val="0"/>
                <w:sz w:val="24"/>
                <w:szCs w:val="24"/>
                <w:lang w:val="en-US" w:eastAsia="zh-Hans"/>
              </w:rPr>
              <w:t>序号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产品名称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</w:pPr>
            <w:r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主机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两台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</w:pPr>
            <w:r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腹部探头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两把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</w:pPr>
            <w:r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浅表探头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两把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</w:pPr>
            <w:r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成人心脏探头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一把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</w:pPr>
            <w:r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腔内探头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一把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</w:pPr>
            <w:r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超声检查床</w:t>
            </w:r>
            <w:r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eastAsia="zh-Hans"/>
              </w:rPr>
              <w:t>+</w:t>
            </w: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椅子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两套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</w:pPr>
            <w:r>
              <w:rPr>
                <w:rFonts w:hint="default" w:ascii="GE Inspira Sans" w:hAnsi="GE Inspira Sans" w:eastAsia="幼圆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电脑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两台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承诺提供原厂三年质保</w:t>
            </w:r>
            <w:r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，</w:t>
            </w: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超声设备故障无法修复时</w:t>
            </w:r>
            <w:r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，48</w:t>
            </w:r>
            <w:r>
              <w:rPr>
                <w:rFonts w:hint="eastAsia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小时内提供备用机</w:t>
            </w:r>
            <w:r>
              <w:rPr>
                <w:rFonts w:hint="default" w:ascii="GE Inspira Sans" w:hAnsi="GE Inspira Sans" w:eastAsia="幼圆" w:cs="宋体"/>
                <w:b/>
                <w:bCs/>
                <w:kern w:val="0"/>
                <w:sz w:val="24"/>
                <w:szCs w:val="24"/>
                <w:lang w:val="en-US" w:eastAsia="zh-Hans"/>
              </w:rPr>
              <w:t>。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GE Inspira Sans">
    <w:altName w:val="DejaVu Math TeX Gyre"/>
    <w:panose1 w:val="020B0503060000000003"/>
    <w:charset w:val="00"/>
    <w:family w:val="swiss"/>
    <w:pitch w:val="default"/>
    <w:sig w:usb0="00000000" w:usb1="00000000" w:usb2="00000000" w:usb3="00000000" w:csb0="00000093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3EA0A68"/>
    <w:rsid w:val="07B81B6D"/>
    <w:rsid w:val="07E60B27"/>
    <w:rsid w:val="07F14F50"/>
    <w:rsid w:val="0E463ABF"/>
    <w:rsid w:val="12E82E96"/>
    <w:rsid w:val="135875D7"/>
    <w:rsid w:val="13F93B29"/>
    <w:rsid w:val="1D526661"/>
    <w:rsid w:val="1D533F02"/>
    <w:rsid w:val="26C01E86"/>
    <w:rsid w:val="2A8C0727"/>
    <w:rsid w:val="2D446048"/>
    <w:rsid w:val="2E2319FE"/>
    <w:rsid w:val="395F289E"/>
    <w:rsid w:val="40B83BEC"/>
    <w:rsid w:val="41A64D43"/>
    <w:rsid w:val="444A2000"/>
    <w:rsid w:val="47AA2BDE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403390B"/>
    <w:rsid w:val="643B394D"/>
    <w:rsid w:val="6A3F27B5"/>
    <w:rsid w:val="6C944713"/>
    <w:rsid w:val="723957EA"/>
    <w:rsid w:val="73A1489D"/>
    <w:rsid w:val="75B01B84"/>
    <w:rsid w:val="79580A93"/>
    <w:rsid w:val="7BBB7DA8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2797</Words>
  <Characters>3357</Characters>
  <Lines>18</Lines>
  <Paragraphs>5</Paragraphs>
  <TotalTime>4</TotalTime>
  <ScaleCrop>false</ScaleCrop>
  <LinksUpToDate>false</LinksUpToDate>
  <CharactersWithSpaces>3400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2023-01-12T09:18:07Z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