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设备名称：排痰机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设备编号：NYZBB-SBK-2023002</w:t>
      </w:r>
    </w:p>
    <w:p>
      <w:pP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1、设备用途：用于下呼吸道分泌物增多，排出不畅的患者，促进分泌物的排出；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2、电源电压：AC 220V士22V，50Hz士1Hz                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3、适用人群:成人、儿童；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4、时间设置：1-99min，步进值1min,随时可调；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5、压力设置：3-16mmHg步进值1mmHg,随时可调；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6、频率设置：1-12Hz,步进值1Hz，随时可调；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7、显示方式：液晶屏显示，中文菜单操作，清晰直观；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8、保险功能：排痰机设有手柄紧急开关，可以随时停止振动工作或继续振动工作；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9、自动检测漏气补偿功能：实时监测充气背心内气压，对意外情况造成的过压、欠压及时补偿；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10、工作噪音：设备正常工作状态下，噪音＜70dB(A);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11、提示功能：设定工作时间完成时，界面提示“工作结束”，有声音提示；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12、记忆功能：设备断电后自动存储上次设定参数，以供下次使用参考；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13、排痰配件：至少包括排痰背心2件、排痰束带2条；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14、通过医疗机构EMC检测，有效性、安全性临床实验报告；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15、可配推车1台，带静音脚轮。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设备名称：感染性疾病科传呼系统升级（兼容在用系统）</w:t>
      </w:r>
    </w:p>
    <w:p>
      <w:pPr>
        <w:pStyle w:val="8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设备编号：NYZBB-SBK-2023020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本次所采购产品必须与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在用传呼系统（亚华997S）兼容，且技术性能相同或更优；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原设备要求保护性拆卸，交设备科。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交货时间：</w:t>
      </w:r>
      <w:r>
        <w:rPr>
          <w:rFonts w:hint="eastAsia" w:ascii="仿宋" w:hAnsi="仿宋" w:eastAsia="仿宋" w:cs="仿宋"/>
          <w:sz w:val="28"/>
          <w:szCs w:val="28"/>
        </w:rPr>
        <w:t>合同签订后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交货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、交货地点：广西壮族自治区桂林市南溪山医院。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、质保期：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不低于</w:t>
      </w:r>
      <w:r>
        <w:rPr>
          <w:rFonts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报价为包干价，包含“采购清单”内设备及安装（拆除）所需配套材料、安装调试、税费及人工等费用。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568" w:leftChars="180" w:hanging="1190" w:hangingChars="425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7、勘察现场请联系谢工：18276318895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573" w:leftChars="180" w:hanging="1195" w:hangingChars="425"/>
        <w:textAlignment w:val="auto"/>
        <w:rPr>
          <w:rFonts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一、采购清单</w:t>
      </w:r>
    </w:p>
    <w:tbl>
      <w:tblPr>
        <w:tblStyle w:val="10"/>
        <w:tblpPr w:leftFromText="180" w:rightFromText="180" w:vertAnchor="text" w:horzAnchor="page" w:tblpX="1795" w:tblpY="33"/>
        <w:tblOverlap w:val="never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121"/>
        <w:gridCol w:w="1204"/>
        <w:gridCol w:w="1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9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病房门口分机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走廊显示屏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床头分机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卫生间分机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双绞线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及辅材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</w:t>
            </w:r>
          </w:p>
        </w:tc>
      </w:tr>
    </w:tbl>
    <w:p>
      <w:pPr>
        <w:rPr>
          <w:rFonts w:hAnsi="宋体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技术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6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项目内容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医护对讲系统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.病房门口机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组网与供电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设备采用双绞线接入系统总线。即电源线、数据线、语音线共用一条两芯线，可不依赖其他任何外接模块，支持独立与主机组网。（需提供带有CMA或CNAS标识的检验报告证明）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供电方式：集中供电便于管理。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液晶屏幕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采用≥10英寸液晶触摸屏，分辨率≥1024*600，屏幕比例16:9，亮度≥350cd/㎡(Typ)。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声学要求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扬声器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功率不高于1W，单声道，出音方式：前出音。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采用ABS+PC材料，避免金属材质造成的静电隐患。支持挂板式安装。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0℃～40℃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工作湿度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10%～90% </w:t>
            </w:r>
          </w:p>
          <w:p>
            <w:pPr>
              <w:jc w:val="left"/>
              <w:rPr>
                <w:rFonts w:hint="eastAsia" w:eastAsia="等线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功能要求：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当床头分机呼叫时，根据患者护理级别，门口分机灯显示相应颜色，采用15色及以上LED灯提示本房间的护理级别。卫生间分机呼叫时门口分机灯常亮显示。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分机应支持增援呼叫、呼叫清除、护士定位、智能刷卡功能。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文字滚动显示，可以实现大量文本上移或左移显示；展示界面可根据呼叫床位对相应的块闪烁显示，文字和背景可以指定显示颜色；支持同时展示5张病人信息界面，手动切换查看，支持设置正常待机默认界面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分机设备程序、素材可在线进行升级，支持由系统后台统一进行功能升级。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.走廊显示屏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组网与供电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使用一根两芯线连接主机，通过RS485协议进行数据通讯。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显示屏幕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采用双面Φ3.75LED点阵屏，像素点不低于128*32，支持显示两行八个汉字。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采用铝合金氧化材料，覆膜。界面黑底红字，配白色“静”（中英文）字，支持吸顶或悬挂安装。宽度不可超过200mm，长度不超过900mm，厚度不超过40mm。整机重量不超过4kg。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-20℃～40℃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工作湿度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10%～90%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静电防护等级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±15KV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群脉冲等级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1.2KV@5KHz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功能要求：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呼叫时可显示护理级别、房间号和床位号信息；外观有醒目中英文“静”字标识，提示病区人员保持安静。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支持显示多种格式的日期时间样式、护士位置、温馨提示等内容。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.床头分机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组网与供电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设备采用双绞线接入系统总线，即电源线、数据线、语音线共用一条两芯线，可不依赖其他任何外接模块，支持独立与主机组网。（需提供带有CMA或CNAS标识的检验报告证明）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供电方式：集中供电。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液晶屏幕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采用≥7英寸液晶触摸屏，分辨率≥800*480，屏幕比例16:9，亮度≥300cd/㎡(Typ)，视角80/80/60/80deg(Typ)。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声学要求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扬声器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功率不高于2W，单声道，出音方式：正出音。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采用ABS+PC材料，避免金属材质造成的静电隐患。配色医疗白+医疗灰，支持嵌入式或选配挂板式安装。为匹配设备带，宽度不可超过120mm，安装后厚度不超过21mm。整机重量不超过0.4kg。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0℃～40℃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工作湿度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10%～90%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静电防护等级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±20KV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群脉冲等级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1.0KV@5KHz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功能要求：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支持与护士站医护主机、值班室分机、移动医护分机进行双向呼叫及对讲。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分机应支持增援呼叫、换药呼叫、呼叫清除、护士定位，可实现呼叫存储、服药提醒、缴费提醒等语音提醒功能。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支持显示多种必要图文信息，包括但不限于病人姓名（支持隐去单字以保护患者隐私）、年龄、护理等级、护理标识、医护头像、科室介绍、医院介绍等，内容和背景均可指定显示颜色。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床头分机内部菜单指向的表格可以定制样式，菜单内容可支持8万个及以上汉字，每个表格可以保存2000条及以上记录，支持快速翻页和查看。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病人信息界面可根据文本内容提供块闪烁显示，文字和背景可以指定显示颜色。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支持同时展示5张及以上病人信息界面，手动切换查看，支持设置正常待机默认界面。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支持在线调整患者信息界面的样式以及菜单表格样式和内容，支持文字的滚动显示。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呼叫开关（手柄线）通过专用线缆连接至每个床头分机，采用磁吸式固定，呼叫开关具有呼叫、换药、取消呼叫、手电照明、屏幕亮屏开关等功能。 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分机设备程序、素材支持在线升级，支持由系统后台统一进行功能升级。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.卫生间分机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不依赖任何分机终端，借助两芯线独立安装，安装于标准86盒。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材质/工艺：ABS+PC，白色+红色。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机身尺寸：大按键设计，方便触发，长宽不低于100mm，厚不超过30mm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机身重量：不超过100g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0℃ ～ 40℃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防水等级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IP68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静电等级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±15KV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群脉冲等级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1KV@5KHz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功能要求：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用于在卫生间或淋浴间的紧急呼叫，其呼叫优先级最高。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呼叫时有明显的声光报警提示，并在病区中配合广播提示。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IP68防护等级，防水、防尘工艺设计，适合卫生间、淋浴间等潮湿环境使用；超大红色紧急呼叫按钮设计，按键触发面积占比不低于25%；专用的取消按键，便于及时清除误操作。（需提供带有CMA或CNAS标识的检验报告证明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分机应配有红色拉绳，支持拉绳触发报警。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拉绳端应配有立体坠饰，使拉绳保持垂直，不因溅水贴于墙面。</w:t>
            </w:r>
          </w:p>
        </w:tc>
      </w:tr>
    </w:tbl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4BAC5"/>
    <w:multiLevelType w:val="singleLevel"/>
    <w:tmpl w:val="AD54BAC5"/>
    <w:lvl w:ilvl="0" w:tentative="0">
      <w:start w:val="6"/>
      <w:numFmt w:val="decimal"/>
      <w:lvlText w:val="%1."/>
      <w:lvlJc w:val="left"/>
    </w:lvl>
  </w:abstractNum>
  <w:abstractNum w:abstractNumId="1">
    <w:nsid w:val="1AE469C7"/>
    <w:multiLevelType w:val="singleLevel"/>
    <w:tmpl w:val="1AE469C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2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DB7902"/>
    <w:rsid w:val="51F30A22"/>
    <w:rsid w:val="5372623C"/>
    <w:rsid w:val="56F4028E"/>
    <w:rsid w:val="58210931"/>
    <w:rsid w:val="589B7282"/>
    <w:rsid w:val="5E1F0659"/>
    <w:rsid w:val="61B73C28"/>
    <w:rsid w:val="66AF5BE6"/>
    <w:rsid w:val="6B2A4DF1"/>
    <w:rsid w:val="6B6508C9"/>
    <w:rsid w:val="6F9858F2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1140</Characters>
  <Lines>10</Lines>
  <Paragraphs>2</Paragraphs>
  <TotalTime>1</TotalTime>
  <ScaleCrop>false</ScaleCrop>
  <LinksUpToDate>false</LinksUpToDate>
  <CharactersWithSpaces>1173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2023-01-05T01:04:00Z</cp:lastPrinted>
  <dcterms:modified xsi:type="dcterms:W3CDTF">2023-02-21T03:55:41Z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4AC06BCA9B924D0AA08A28B43A358F85</vt:lpwstr>
  </property>
</Properties>
</file>