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设备名称：光子治疗仪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57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1.光源材料：矩阵集成芯片式固态光源系统，每个光源含有多个集成式LED芯片，光能分布均匀照射面积大。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2.峰值波长：红光640nm ，蓝光460nm。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3.光功率密度：≥110mw/cm2，分5挡可调（误差＜±20%）。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4.治疗时间0-60min连续可调。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5.有效治疗面积≥400cm2。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6.照射距离和角度可调。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7.治疗模式：手动、自动（红蓝光可自动切换）。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8.控制方式：8寸及以上触摸液晶屏，操作简单。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心电监护仪一批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设备编号：NYZBB-SBK-202306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一批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预    算：13.07万元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1.1、≥1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  <w:lang w:val="en-US" w:eastAsia="zh-CN"/>
        </w:rPr>
        <w:t>电容</w:t>
      </w:r>
      <w:r>
        <w:rPr>
          <w:rFonts w:hint="eastAsia" w:ascii="宋体" w:hAnsi="宋体"/>
          <w:sz w:val="24"/>
        </w:rPr>
        <w:t>触摸屏，分辨率高达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80*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1.2、可支持遥控器无线远程操作监护仪。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1.3、内置锂电池，插槽式设计，无需螺丝刀工具支持快速拆卸和安装。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Arial"/>
          <w:sz w:val="24"/>
        </w:rPr>
        <w:t>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、监护仪清洁维护支持的清洁剂≥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种。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、监护仪主机工作大气压环境范围：57.0~107kPa。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、监护仪主机工作温度环境范围：0~40°C。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sz w:val="24"/>
        </w:rPr>
        <w:t>1.</w:t>
      </w:r>
      <w:r>
        <w:rPr>
          <w:rFonts w:hint="eastAsia" w:ascii="宋体" w:hAnsi="宋体" w:cs="Arial"/>
          <w:sz w:val="24"/>
          <w:lang w:val="en-US" w:eastAsia="zh-CN"/>
        </w:rPr>
        <w:t>8</w:t>
      </w:r>
      <w:r>
        <w:rPr>
          <w:rFonts w:hint="eastAsia" w:ascii="宋体" w:hAnsi="宋体" w:cs="Arial"/>
          <w:sz w:val="24"/>
        </w:rPr>
        <w:t>、</w:t>
      </w:r>
      <w:r>
        <w:rPr>
          <w:rFonts w:hint="eastAsia" w:ascii="宋体" w:hAnsi="宋体"/>
          <w:sz w:val="24"/>
        </w:rPr>
        <w:t>监护仪主机工作湿度环境范围；15~95%。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、防</w:t>
      </w:r>
      <w:r>
        <w:rPr>
          <w:rFonts w:ascii="宋体" w:hAnsi="宋体"/>
          <w:sz w:val="24"/>
        </w:rPr>
        <w:t>水等级</w:t>
      </w:r>
      <w:r>
        <w:rPr>
          <w:rFonts w:hint="eastAsia" w:ascii="宋体" w:hAnsi="宋体"/>
          <w:sz w:val="24"/>
        </w:rPr>
        <w:t>≥IPX2</w:t>
      </w:r>
      <w:r>
        <w:rPr>
          <w:rFonts w:ascii="宋体" w:hAnsi="宋体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、整机抗跌落设计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.75</w:t>
      </w:r>
      <w:r>
        <w:rPr>
          <w:rFonts w:hint="eastAsia" w:ascii="宋体" w:hAnsi="宋体"/>
          <w:sz w:val="24"/>
        </w:rPr>
        <w:t>米6面</w:t>
      </w:r>
      <w:r>
        <w:rPr>
          <w:rFonts w:ascii="宋体" w:hAnsi="宋体"/>
          <w:sz w:val="24"/>
        </w:rPr>
        <w:t>跌落测试。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2.1、配置3/5导心电，呼吸，无创血压，血氧饱和度，脉搏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双通道体温</w:t>
      </w:r>
      <w:r>
        <w:rPr>
          <w:rFonts w:hint="eastAsia" w:ascii="宋体" w:hAnsi="宋体"/>
          <w:sz w:val="24"/>
          <w:lang w:val="en-US" w:eastAsia="zh-CN"/>
        </w:rPr>
        <w:t>以及双通道有创血压</w:t>
      </w:r>
      <w:r>
        <w:rPr>
          <w:rFonts w:hint="eastAsia" w:ascii="宋体" w:hAnsi="宋体"/>
          <w:sz w:val="24"/>
        </w:rPr>
        <w:t>参数监测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2.2、心电监护支持心率，ST段测量，心律失常分析，QT/QTc连续实时测量和对应报警功能。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45" w:leftChars="203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2.8、支持升级提供过去24小时心电概览报告查看与打印，包括心率统计结果，心律失常统计结果，ST统计和QT/QTc统计结果。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2.9、提供SpO2,PR和PI参数的实时监测，适用于成人，小儿和新生儿。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、配置无创血压测量，适用于成人，小儿和新生儿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提供手动，自动，连续、序列和整点，5种测量模式，并提供24小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满足临床应用。</w:t>
      </w:r>
    </w:p>
    <w:p>
      <w:pPr>
        <w:spacing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3.1、支持所有监测参数报警限一键自动设置功能，满足医护团队快速管理患者报警需求。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3.2、支持肾功能计算功能。</w:t>
      </w:r>
    </w:p>
    <w:p>
      <w:pPr>
        <w:spacing w:line="360" w:lineRule="auto"/>
        <w:ind w:right="42" w:rightChars="20"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</w:rPr>
        <w:t>3.3、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报警指示功能，</w:t>
      </w:r>
      <w:r>
        <w:rPr>
          <w:rFonts w:hint="eastAsia" w:asciiTheme="minorEastAsia" w:hAnsiTheme="minorEastAsia"/>
          <w:sz w:val="24"/>
        </w:rPr>
        <w:t>帮助医</w:t>
      </w:r>
      <w:r>
        <w:rPr>
          <w:rFonts w:asciiTheme="minorEastAsia" w:hAnsiTheme="minorEastAsia"/>
          <w:sz w:val="24"/>
        </w:rPr>
        <w:t>护团队快速识别</w:t>
      </w:r>
      <w:r>
        <w:rPr>
          <w:rFonts w:hint="eastAsia" w:asciiTheme="minorEastAsia" w:hAnsiTheme="minorEastAsia"/>
          <w:sz w:val="24"/>
        </w:rPr>
        <w:t>报警来</w:t>
      </w:r>
      <w:r>
        <w:rPr>
          <w:rFonts w:asciiTheme="minorEastAsia" w:hAnsiTheme="minorEastAsia"/>
          <w:sz w:val="24"/>
        </w:rPr>
        <w:t>源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3.4、≥1000组NIBP测</w:t>
      </w:r>
      <w:r>
        <w:rPr>
          <w:rFonts w:ascii="宋体" w:hAnsi="宋体"/>
          <w:sz w:val="24"/>
        </w:rPr>
        <w:t>量结果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、配置临床评分系统，如MEWS（改良早期预警评分）、NEWS（英国早期预警评分），可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定时自动EWS评分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="宋体" w:hAnsi="宋体"/>
          <w:sz w:val="24"/>
        </w:rPr>
        <w:t>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）功能。</w:t>
      </w: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4: 根据临床需求配置中央站及设备放置支架。</w:t>
      </w: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5：参考品牌：理邦、迈瑞、麦邦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DB7902"/>
    <w:rsid w:val="51F30A22"/>
    <w:rsid w:val="5372623C"/>
    <w:rsid w:val="58210931"/>
    <w:rsid w:val="589B7282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1275</Words>
  <Characters>1596</Characters>
  <Lines>10</Lines>
  <Paragraphs>2</Paragraphs>
  <TotalTime>0</TotalTime>
  <ScaleCrop>false</ScaleCrop>
  <LinksUpToDate>false</LinksUpToDate>
  <CharactersWithSpaces>1695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2023-05-26T03:15:33Z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