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脊柱内镜微创器械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设备编号：NYZBB-SBK-202306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</w:rPr>
        <w:t>总体要求：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医用椎间孔镜手术器械均可高温高压消毒和重复使用。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器械注册证应包含“椎间孔镜手术器械”字样</w:t>
      </w:r>
    </w:p>
    <w:p>
      <w:pPr>
        <w:rPr>
          <w:rFonts w:hint="eastAsia"/>
          <w:sz w:val="24"/>
          <w:szCs w:val="24"/>
        </w:rPr>
      </w:pP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sz w:val="24"/>
          <w:szCs w:val="24"/>
        </w:rPr>
        <w:t>医用椎间孔镜手术器械参数</w:t>
      </w:r>
      <w:bookmarkStart w:id="0" w:name="_GoBack"/>
      <w:bookmarkEnd w:id="0"/>
    </w:p>
    <w:tbl>
      <w:tblPr>
        <w:tblStyle w:val="11"/>
        <w:tblW w:w="10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10"/>
        <w:gridCol w:w="735"/>
        <w:gridCol w:w="705"/>
        <w:gridCol w:w="6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器械名称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可视</w:t>
            </w:r>
            <w:r>
              <w:rPr>
                <w:rFonts w:hint="eastAsia"/>
                <w:sz w:val="24"/>
                <w:szCs w:val="24"/>
              </w:rPr>
              <w:t>环锯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细齿设计，可保护神经根，内部有间隔1</w:t>
            </w:r>
            <w:r>
              <w:rPr>
                <w:rFonts w:hint="eastAsia" w:ascii="等线" w:hAnsi="等线" w:eastAsia="等线"/>
                <w:color w:val="000000"/>
                <w:sz w:val="24"/>
                <w:szCs w:val="24"/>
              </w:rPr>
              <w:t>～</w:t>
            </w:r>
            <w:r>
              <w:rPr>
                <w:rFonts w:hint="default" w:ascii="等线" w:hAnsi="等线" w:eastAsia="等线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mm刻度</w:t>
            </w:r>
            <w:r>
              <w:rPr>
                <w:rFonts w:hint="default"/>
                <w:sz w:val="24"/>
                <w:szCs w:val="24"/>
              </w:rPr>
              <w:t xml:space="preserve">，同时配备专用保护套管一支。长度165～170mm，适合于6.3～6.4mm外径的椎间孔内窥镜配合使用。 </w:t>
            </w:r>
            <w:r>
              <w:rPr>
                <w:rFonts w:hint="eastAsia"/>
                <w:sz w:val="24"/>
                <w:szCs w:val="24"/>
              </w:rPr>
              <w:t>配备保护套管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保护套管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支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长度为155mm～165mm的保护套管外径为： 7.5～7.6mm，内径为： 6.5～6.6mm。前端为斜角或鸭嘴型设计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调节扩张器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支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长度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221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sz w:val="24"/>
                <w:szCs w:val="24"/>
                <w:vertAlign w:val="baseline"/>
              </w:rPr>
              <w:t>～</w:t>
            </w:r>
            <w:r>
              <w:rPr>
                <w:rFonts w:hint="default"/>
                <w:sz w:val="24"/>
                <w:szCs w:val="24"/>
                <w:vertAlign w:val="baseline"/>
              </w:rPr>
              <w:t>230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外径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sz w:val="24"/>
                <w:szCs w:val="24"/>
                <w:vertAlign w:val="baseline"/>
              </w:rPr>
              <w:t>～</w:t>
            </w:r>
            <w:r>
              <w:rPr>
                <w:rFonts w:hint="default"/>
                <w:sz w:val="24"/>
                <w:szCs w:val="24"/>
                <w:vertAlign w:val="baseline"/>
              </w:rPr>
              <w:t>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内径分别为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、1.5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、2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神经拉钩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支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直径2.5mm～3.5mm，前端L型，工作长度≥300mm。内镜下使用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剥离器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支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直径2.5mm～3.5mm，前端剥离或直型，工作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长度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310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sz w:val="24"/>
                <w:szCs w:val="24"/>
                <w:vertAlign w:val="baseline"/>
              </w:rPr>
              <w:t>～320mm。 内镜下使用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髓核钳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把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直径≥2.5mm，钳口上翘角度分别为≥45°及0°，长度</w:t>
            </w:r>
            <w:r>
              <w:rPr>
                <w:rFonts w:hint="default"/>
                <w:sz w:val="24"/>
                <w:szCs w:val="24"/>
                <w:vertAlign w:val="baseline"/>
              </w:rPr>
              <w:t>310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sz w:val="24"/>
                <w:szCs w:val="24"/>
                <w:vertAlign w:val="baseline"/>
              </w:rPr>
              <w:t>～320mm。 内镜下使用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有</w:t>
            </w:r>
            <w:r>
              <w:rPr>
                <w:rFonts w:hint="eastAsia"/>
                <w:sz w:val="24"/>
                <w:szCs w:val="24"/>
                <w:vertAlign w:val="baseline"/>
              </w:rPr>
              <w:t>角度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弹簧钳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把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直径2.5～3.5mm，钳口上翘角度≥45°，可提供上下开口，螺旋弹簧活动关节长度≥2.5mm，长度≥320mm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vertAlign w:val="baseline"/>
              </w:rPr>
              <w:t>内镜下使用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咬骨钳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把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直径</w:t>
            </w:r>
            <w:r>
              <w:rPr>
                <w:rFonts w:hint="default"/>
                <w:sz w:val="24"/>
                <w:szCs w:val="24"/>
                <w:vertAlign w:val="baseline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4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sz w:val="24"/>
                <w:szCs w:val="24"/>
                <w:vertAlign w:val="baseline"/>
              </w:rPr>
              <w:t>～3.5mm，长度</w:t>
            </w:r>
            <w:r>
              <w:rPr>
                <w:rFonts w:hint="default"/>
                <w:sz w:val="24"/>
                <w:szCs w:val="24"/>
                <w:vertAlign w:val="baseline"/>
              </w:rPr>
              <w:t>340</w:t>
            </w:r>
            <w:r>
              <w:rPr>
                <w:rFonts w:hint="eastAsia"/>
                <w:sz w:val="24"/>
                <w:szCs w:val="24"/>
                <w:vertAlign w:val="baseline"/>
              </w:rPr>
              <w:t>～350mm，钳口前端为40°/90°，可360°旋转，配备一把可拆卸通用手柄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vertAlign w:val="baseline"/>
              </w:rPr>
              <w:t>内镜下使用的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髓核咬剪钳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把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直径</w:t>
            </w:r>
            <w:r>
              <w:rPr>
                <w:rFonts w:hint="default"/>
                <w:sz w:val="24"/>
                <w:szCs w:val="24"/>
                <w:vertAlign w:val="baseline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4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sz w:val="24"/>
                <w:szCs w:val="24"/>
                <w:vertAlign w:val="baseline"/>
              </w:rPr>
              <w:t>～2.5mm，长度</w:t>
            </w:r>
            <w:r>
              <w:rPr>
                <w:rFonts w:hint="default"/>
                <w:sz w:val="24"/>
                <w:szCs w:val="24"/>
                <w:vertAlign w:val="baseline"/>
              </w:rPr>
              <w:t>310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mm</w:t>
            </w:r>
            <w:r>
              <w:rPr>
                <w:rFonts w:hint="eastAsia"/>
                <w:sz w:val="24"/>
                <w:szCs w:val="24"/>
                <w:vertAlign w:val="baseline"/>
              </w:rPr>
              <w:t>～320mm。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分别为</w:t>
            </w:r>
            <w:r>
              <w:rPr>
                <w:rFonts w:hint="eastAsia"/>
                <w:sz w:val="24"/>
                <w:szCs w:val="24"/>
                <w:vertAlign w:val="baseline"/>
              </w:rPr>
              <w:t>0°、15°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vertAlign w:val="baseline"/>
              </w:rPr>
              <w:t>内窥镜下使用的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缓冲锤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把</w:t>
            </w:r>
          </w:p>
        </w:tc>
        <w:tc>
          <w:tcPr>
            <w:tcW w:w="66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特制医用不锈钢，塑料表面，可拆卸。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48362"/>
    <w:multiLevelType w:val="singleLevel"/>
    <w:tmpl w:val="E8E483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73CF8DC0"/>
    <w:multiLevelType w:val="singleLevel"/>
    <w:tmpl w:val="73CF8D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D6818CE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2995688"/>
    <w:rsid w:val="44346735"/>
    <w:rsid w:val="448B5379"/>
    <w:rsid w:val="45337185"/>
    <w:rsid w:val="474B073A"/>
    <w:rsid w:val="49CE4194"/>
    <w:rsid w:val="4A027E2A"/>
    <w:rsid w:val="4A302AFA"/>
    <w:rsid w:val="4BC250E2"/>
    <w:rsid w:val="4C3E7F0C"/>
    <w:rsid w:val="4C6B1964"/>
    <w:rsid w:val="4CED5BF4"/>
    <w:rsid w:val="4D8A1F33"/>
    <w:rsid w:val="4DCD0FF6"/>
    <w:rsid w:val="4FEF54E0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6AF5BE6"/>
    <w:rsid w:val="68C549EB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5">
    <w:name w:val="apple-style-span"/>
    <w:basedOn w:val="12"/>
    <w:qFormat/>
    <w:uiPriority w:val="0"/>
  </w:style>
  <w:style w:type="character" w:customStyle="1" w:styleId="16">
    <w:name w:val="页脚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9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List Paragraph1"/>
    <w:basedOn w:val="1"/>
    <w:qFormat/>
    <w:uiPriority w:val="0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normaltextrun"/>
    <w:basedOn w:val="12"/>
    <w:qFormat/>
    <w:uiPriority w:val="0"/>
  </w:style>
  <w:style w:type="character" w:customStyle="1" w:styleId="28">
    <w:name w:val="eop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697</Characters>
  <Lines>10</Lines>
  <Paragraphs>2</Paragraphs>
  <TotalTime>154</TotalTime>
  <ScaleCrop>false</ScaleCrop>
  <LinksUpToDate>false</LinksUpToDate>
  <CharactersWithSpaces>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2023-05-17T04:11:00Z</cp:lastPrinted>
  <dcterms:modified xsi:type="dcterms:W3CDTF">2023-05-24T03:22:15Z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4AC06BCA9B924D0AA08A28B43A358F85</vt:lpwstr>
  </property>
</Properties>
</file>