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9"/>
      </w:pPr>
    </w:p>
    <w:p>
      <w:pPr>
        <w:rPr>
          <w:rFonts w:hint="default" w:eastAsiaTheme="minorEastAsia"/>
          <w:b/>
          <w:bCs/>
          <w:color w:val="FF0000"/>
          <w:sz w:val="22"/>
          <w:szCs w:val="28"/>
          <w:lang w:val="en-US" w:eastAsia="zh-CN"/>
        </w:rPr>
      </w:pPr>
      <w:r>
        <w:rPr>
          <w:rFonts w:hint="eastAsia"/>
          <w:b/>
          <w:bCs/>
          <w:sz w:val="22"/>
          <w:szCs w:val="28"/>
          <w:lang w:val="en-US" w:eastAsia="zh-CN"/>
        </w:rPr>
        <w:t>一</w:t>
      </w:r>
      <w:r>
        <w:rPr>
          <w:rFonts w:hint="eastAsia"/>
          <w:b/>
          <w:bCs/>
          <w:sz w:val="22"/>
          <w:szCs w:val="28"/>
        </w:rPr>
        <w:t>：PACS系统分布式计算存储</w:t>
      </w:r>
      <w:r>
        <w:rPr>
          <w:rFonts w:hint="eastAsia"/>
          <w:b/>
          <w:bCs/>
          <w:sz w:val="22"/>
          <w:szCs w:val="28"/>
          <w:lang w:val="en-US" w:eastAsia="zh-CN"/>
        </w:rPr>
        <w:t>3</w:t>
      </w:r>
      <w:r>
        <w:rPr>
          <w:rFonts w:hint="eastAsia"/>
          <w:b/>
          <w:bCs/>
          <w:sz w:val="22"/>
          <w:szCs w:val="28"/>
        </w:rPr>
        <w:t>台</w:t>
      </w:r>
      <w:r>
        <w:rPr>
          <w:rFonts w:hint="eastAsia"/>
          <w:b/>
          <w:bCs/>
          <w:sz w:val="22"/>
          <w:szCs w:val="28"/>
          <w:lang w:eastAsia="zh-CN"/>
        </w:rPr>
        <w:t>，</w:t>
      </w:r>
      <w:r>
        <w:rPr>
          <w:rFonts w:hint="eastAsia"/>
          <w:b/>
          <w:bCs/>
          <w:sz w:val="22"/>
          <w:szCs w:val="28"/>
          <w:lang w:val="en-US" w:eastAsia="zh-CN"/>
        </w:rPr>
        <w:t>并入现有分布式存储平台</w:t>
      </w:r>
    </w:p>
    <w:p>
      <w:pPr>
        <w:numPr>
          <w:ilvl w:val="0"/>
          <w:numId w:val="1"/>
        </w:numPr>
        <w:rPr>
          <w:sz w:val="20"/>
          <w:szCs w:val="22"/>
        </w:rPr>
      </w:pPr>
      <w:r>
        <w:rPr>
          <w:rFonts w:hint="eastAsia"/>
          <w:sz w:val="20"/>
          <w:szCs w:val="22"/>
        </w:rPr>
        <w:t>国产品牌，≤</w:t>
      </w:r>
      <w:r>
        <w:rPr>
          <w:rFonts w:hint="eastAsia" w:ascii="宋体" w:hAnsi="宋体" w:eastAsia="宋体" w:cs="宋体"/>
          <w:color w:val="auto"/>
          <w:sz w:val="21"/>
          <w:szCs w:val="21"/>
          <w:highlight w:val="none"/>
          <w:lang w:val="en-US" w:eastAsia="zh-CN"/>
        </w:rPr>
        <w:t>2U机架式服务器，</w:t>
      </w:r>
      <w:r>
        <w:rPr>
          <w:rFonts w:hint="eastAsia"/>
          <w:sz w:val="20"/>
          <w:szCs w:val="22"/>
        </w:rPr>
        <w:t>可放入42U标准机柜；</w:t>
      </w:r>
    </w:p>
    <w:p>
      <w:pPr>
        <w:numPr>
          <w:ilvl w:val="0"/>
          <w:numId w:val="1"/>
        </w:numPr>
        <w:rPr>
          <w:sz w:val="20"/>
          <w:szCs w:val="22"/>
        </w:rPr>
      </w:pPr>
      <w:r>
        <w:rPr>
          <w:rFonts w:hint="eastAsia"/>
          <w:sz w:val="20"/>
          <w:szCs w:val="22"/>
        </w:rPr>
        <w:t>≥2颗处理器，</w:t>
      </w:r>
      <w:r>
        <w:rPr>
          <w:rFonts w:hint="eastAsia"/>
          <w:sz w:val="20"/>
          <w:szCs w:val="22"/>
          <w:lang w:val="en-US" w:eastAsia="zh-CN"/>
        </w:rPr>
        <w:t>单颗CPU</w:t>
      </w:r>
      <w:r>
        <w:rPr>
          <w:rFonts w:hint="eastAsia"/>
          <w:sz w:val="20"/>
          <w:szCs w:val="22"/>
        </w:rPr>
        <w:t>主频≥2.</w:t>
      </w:r>
      <w:r>
        <w:rPr>
          <w:rFonts w:hint="eastAsia"/>
          <w:sz w:val="20"/>
          <w:szCs w:val="22"/>
          <w:lang w:val="en-US" w:eastAsia="zh-CN"/>
        </w:rPr>
        <w:t>6</w:t>
      </w:r>
      <w:r>
        <w:rPr>
          <w:rFonts w:hint="eastAsia"/>
          <w:sz w:val="20"/>
          <w:szCs w:val="22"/>
        </w:rPr>
        <w:t>GHz</w:t>
      </w:r>
      <w:r>
        <w:rPr>
          <w:rFonts w:hint="eastAsia"/>
          <w:sz w:val="20"/>
          <w:szCs w:val="22"/>
          <w:lang w:eastAsia="zh-CN"/>
        </w:rPr>
        <w:t>、</w:t>
      </w:r>
      <w:r>
        <w:rPr>
          <w:rFonts w:hint="eastAsia"/>
          <w:sz w:val="20"/>
          <w:szCs w:val="22"/>
          <w:lang w:val="en-US" w:eastAsia="zh-CN"/>
        </w:rPr>
        <w:t>总物理</w:t>
      </w:r>
      <w:r>
        <w:rPr>
          <w:rFonts w:hint="eastAsia"/>
          <w:sz w:val="20"/>
          <w:szCs w:val="22"/>
        </w:rPr>
        <w:t>核数≥</w:t>
      </w:r>
      <w:r>
        <w:rPr>
          <w:rFonts w:hint="eastAsia"/>
          <w:sz w:val="20"/>
          <w:szCs w:val="22"/>
          <w:lang w:val="en-US" w:eastAsia="zh-CN"/>
        </w:rPr>
        <w:t>56</w:t>
      </w:r>
      <w:r>
        <w:rPr>
          <w:rFonts w:hint="eastAsia"/>
          <w:sz w:val="20"/>
          <w:szCs w:val="22"/>
        </w:rPr>
        <w:t>；</w:t>
      </w:r>
    </w:p>
    <w:p>
      <w:pPr>
        <w:numPr>
          <w:ilvl w:val="0"/>
          <w:numId w:val="1"/>
        </w:numPr>
        <w:rPr>
          <w:sz w:val="20"/>
          <w:szCs w:val="22"/>
        </w:rPr>
      </w:pPr>
      <w:r>
        <w:rPr>
          <w:rFonts w:hint="eastAsia"/>
          <w:sz w:val="20"/>
          <w:szCs w:val="22"/>
        </w:rPr>
        <w:t>内存≥128G（DDR4内存-ECC）单条≥16G；</w:t>
      </w:r>
      <w:r>
        <w:rPr>
          <w:rFonts w:hint="eastAsia"/>
          <w:sz w:val="20"/>
          <w:szCs w:val="22"/>
          <w:lang w:val="en-US" w:eastAsia="zh-CN"/>
        </w:rPr>
        <w:t>最大</w:t>
      </w:r>
      <w:r>
        <w:rPr>
          <w:rFonts w:hint="eastAsia"/>
          <w:sz w:val="20"/>
          <w:szCs w:val="22"/>
        </w:rPr>
        <w:t>≥</w:t>
      </w:r>
      <w:r>
        <w:rPr>
          <w:rFonts w:hint="eastAsia"/>
          <w:sz w:val="20"/>
          <w:szCs w:val="22"/>
          <w:lang w:val="en-US" w:eastAsia="zh-CN"/>
        </w:rPr>
        <w:t>48个DDR4内存。</w:t>
      </w:r>
      <w:r>
        <w:rPr>
          <w:rFonts w:hint="eastAsia"/>
          <w:sz w:val="20"/>
          <w:szCs w:val="22"/>
        </w:rPr>
        <w:t>含16GB硬件级别数据掉电保护内存</w:t>
      </w:r>
      <w:r>
        <w:rPr>
          <w:rFonts w:hint="eastAsia"/>
          <w:sz w:val="20"/>
          <w:szCs w:val="22"/>
          <w:lang w:eastAsia="zh-CN"/>
        </w:rPr>
        <w:t>；</w:t>
      </w:r>
    </w:p>
    <w:p>
      <w:pPr>
        <w:numPr>
          <w:ilvl w:val="0"/>
          <w:numId w:val="1"/>
        </w:numPr>
        <w:rPr>
          <w:rFonts w:hint="eastAsia"/>
          <w:sz w:val="20"/>
          <w:szCs w:val="22"/>
        </w:rPr>
      </w:pPr>
      <w:r>
        <w:rPr>
          <w:rFonts w:hint="eastAsia"/>
          <w:sz w:val="20"/>
          <w:szCs w:val="22"/>
        </w:rPr>
        <w:t>盘位数≥12；缓存盘1块≥3.8T SAS SSD，系统盘2块≥600GB-10K SAS，主存盘11块≥6T SATA</w:t>
      </w:r>
      <w:r>
        <w:rPr>
          <w:rFonts w:hint="eastAsia"/>
          <w:sz w:val="20"/>
          <w:szCs w:val="22"/>
          <w:lang w:eastAsia="zh-CN"/>
        </w:rPr>
        <w:t>；</w:t>
      </w:r>
      <w:r>
        <w:rPr>
          <w:rFonts w:hint="eastAsia"/>
          <w:sz w:val="20"/>
          <w:szCs w:val="22"/>
        </w:rPr>
        <w:t>最多可扩展至20个3.5英寸</w:t>
      </w:r>
      <w:r>
        <w:rPr>
          <w:rFonts w:hint="eastAsia"/>
          <w:sz w:val="20"/>
          <w:szCs w:val="22"/>
          <w:lang w:val="en-US" w:eastAsia="zh-CN"/>
        </w:rPr>
        <w:t>+</w:t>
      </w:r>
      <w:r>
        <w:rPr>
          <w:rFonts w:hint="eastAsia"/>
          <w:sz w:val="20"/>
          <w:szCs w:val="22"/>
        </w:rPr>
        <w:t>4个2.5英寸硬盘。</w:t>
      </w:r>
    </w:p>
    <w:p>
      <w:pPr>
        <w:numPr>
          <w:ilvl w:val="0"/>
          <w:numId w:val="1"/>
        </w:numPr>
        <w:rPr>
          <w:sz w:val="20"/>
          <w:szCs w:val="22"/>
        </w:rPr>
      </w:pPr>
      <w:r>
        <w:rPr>
          <w:rFonts w:hint="eastAsia"/>
          <w:sz w:val="20"/>
          <w:szCs w:val="22"/>
        </w:rPr>
        <w:t>≥4</w:t>
      </w:r>
      <w:r>
        <w:rPr>
          <w:rFonts w:hint="eastAsia"/>
          <w:sz w:val="20"/>
          <w:szCs w:val="22"/>
          <w:lang w:val="en-US" w:eastAsia="zh-CN"/>
        </w:rPr>
        <w:t>*</w:t>
      </w:r>
      <w:r>
        <w:rPr>
          <w:rFonts w:hint="eastAsia"/>
          <w:sz w:val="20"/>
          <w:szCs w:val="22"/>
        </w:rPr>
        <w:t>千兆电，≥4*10GE光口（含光模块）；</w:t>
      </w:r>
    </w:p>
    <w:p>
      <w:pPr>
        <w:numPr>
          <w:ilvl w:val="0"/>
          <w:numId w:val="1"/>
        </w:numPr>
        <w:rPr>
          <w:sz w:val="20"/>
          <w:szCs w:val="22"/>
        </w:rPr>
      </w:pPr>
      <w:r>
        <w:rPr>
          <w:rFonts w:hint="eastAsia"/>
          <w:sz w:val="20"/>
          <w:szCs w:val="22"/>
        </w:rPr>
        <w:t>支持N+M冗余模式，≤4个节点同时失效而不丢失数据；</w:t>
      </w:r>
    </w:p>
    <w:p>
      <w:pPr>
        <w:numPr>
          <w:ilvl w:val="0"/>
          <w:numId w:val="1"/>
        </w:numPr>
        <w:rPr>
          <w:sz w:val="20"/>
          <w:szCs w:val="22"/>
        </w:rPr>
      </w:pPr>
      <w:r>
        <w:rPr>
          <w:rFonts w:hint="eastAsia"/>
          <w:sz w:val="20"/>
          <w:szCs w:val="22"/>
        </w:rPr>
        <w:t>配负载均衡软件，</w:t>
      </w:r>
      <w:r>
        <w:rPr>
          <w:rFonts w:hint="eastAsia"/>
          <w:sz w:val="20"/>
          <w:szCs w:val="22"/>
          <w:lang w:val="en-US" w:eastAsia="zh-CN"/>
        </w:rPr>
        <w:t>与原有分布式存储平台形成整体</w:t>
      </w:r>
      <w:r>
        <w:rPr>
          <w:rFonts w:hint="eastAsia"/>
          <w:sz w:val="20"/>
          <w:szCs w:val="22"/>
        </w:rPr>
        <w:t>负载策略：CPU占用率、网络带宽、TCP/IP连接数、轮询、节点能力值</w:t>
      </w:r>
      <w:r>
        <w:rPr>
          <w:rFonts w:hint="eastAsia"/>
          <w:sz w:val="20"/>
          <w:szCs w:val="22"/>
          <w:lang w:eastAsia="zh-CN"/>
        </w:rPr>
        <w:t>；</w:t>
      </w:r>
    </w:p>
    <w:p>
      <w:pPr>
        <w:numPr>
          <w:ilvl w:val="0"/>
          <w:numId w:val="1"/>
        </w:numPr>
      </w:pPr>
      <w:r>
        <w:rPr>
          <w:rFonts w:hint="eastAsia"/>
          <w:sz w:val="20"/>
          <w:szCs w:val="22"/>
        </w:rPr>
        <w:t>配置</w:t>
      </w:r>
      <w:r>
        <w:rPr>
          <w:rFonts w:hint="eastAsia"/>
          <w:sz w:val="20"/>
          <w:szCs w:val="22"/>
          <w:lang w:val="en-US" w:eastAsia="zh-CN"/>
        </w:rPr>
        <w:t>分布式存储</w:t>
      </w:r>
      <w:r>
        <w:rPr>
          <w:rFonts w:hint="eastAsia"/>
          <w:sz w:val="20"/>
          <w:szCs w:val="22"/>
        </w:rPr>
        <w:t>超融合软件</w:t>
      </w:r>
      <w:r>
        <w:rPr>
          <w:rFonts w:hint="eastAsia"/>
          <w:sz w:val="20"/>
          <w:szCs w:val="22"/>
          <w:lang w:eastAsia="zh-CN"/>
        </w:rPr>
        <w:t>，</w:t>
      </w:r>
      <w:r>
        <w:rPr>
          <w:rFonts w:hint="eastAsia"/>
          <w:sz w:val="20"/>
          <w:szCs w:val="22"/>
        </w:rPr>
        <w:t>与医院原有H3C onestor分布式存储平台兼容，以软件授权扩容的形式对原分布式存储平台进行扩容，实现一套平台统一管理分布式存储资源池</w:t>
      </w:r>
      <w:r>
        <w:rPr>
          <w:rFonts w:hint="eastAsia"/>
          <w:sz w:val="20"/>
          <w:szCs w:val="22"/>
          <w:lang w:eastAsia="zh-CN"/>
        </w:rPr>
        <w:t>，</w:t>
      </w:r>
      <w:r>
        <w:rPr>
          <w:rFonts w:hint="eastAsia"/>
          <w:sz w:val="20"/>
          <w:szCs w:val="22"/>
        </w:rPr>
        <w:t>采用分布式的软件定义存储架构，使用超融合管理平台统一管理</w:t>
      </w:r>
      <w:r>
        <w:rPr>
          <w:rFonts w:hint="eastAsia"/>
          <w:sz w:val="20"/>
          <w:szCs w:val="22"/>
          <w:lang w:eastAsia="zh-CN"/>
        </w:rPr>
        <w:t>。</w:t>
      </w:r>
    </w:p>
    <w:p>
      <w:pPr>
        <w:numPr>
          <w:ilvl w:val="0"/>
          <w:numId w:val="1"/>
        </w:numPr>
        <w:rPr>
          <w:rFonts w:hint="eastAsia"/>
          <w:sz w:val="20"/>
          <w:szCs w:val="22"/>
        </w:rPr>
      </w:pPr>
      <w:r>
        <w:rPr>
          <w:rFonts w:hint="eastAsia"/>
          <w:sz w:val="20"/>
          <w:szCs w:val="22"/>
        </w:rPr>
        <w:t>同一节点同时支持虚拟化和3种存储功能，3个节点集群即可同时提供虚拟化、分布式块、对象、文件存储服务。其中对象和文件服务必须在宿主机上提供，和</w:t>
      </w:r>
      <w:r>
        <w:rPr>
          <w:rFonts w:hint="eastAsia"/>
          <w:sz w:val="20"/>
          <w:szCs w:val="22"/>
          <w:lang w:val="en-US" w:eastAsia="zh-CN"/>
        </w:rPr>
        <w:t>计算存储硬件为</w:t>
      </w:r>
      <w:r>
        <w:rPr>
          <w:rFonts w:hint="eastAsia"/>
          <w:sz w:val="20"/>
          <w:szCs w:val="22"/>
        </w:rPr>
        <w:t>同品牌。</w:t>
      </w:r>
    </w:p>
    <w:p>
      <w:pPr>
        <w:numPr>
          <w:ilvl w:val="0"/>
          <w:numId w:val="1"/>
        </w:numPr>
        <w:rPr>
          <w:sz w:val="20"/>
          <w:szCs w:val="22"/>
        </w:rPr>
      </w:pPr>
      <w:r>
        <w:rPr>
          <w:rFonts w:hint="eastAsia"/>
          <w:sz w:val="20"/>
          <w:szCs w:val="22"/>
        </w:rPr>
        <w:t>负责</w:t>
      </w:r>
      <w:r>
        <w:rPr>
          <w:rFonts w:hint="eastAsia"/>
          <w:sz w:val="20"/>
          <w:szCs w:val="22"/>
          <w:lang w:val="en-US" w:eastAsia="zh-CN"/>
        </w:rPr>
        <w:t>提供</w:t>
      </w:r>
      <w:r>
        <w:rPr>
          <w:rFonts w:hint="eastAsia"/>
          <w:sz w:val="20"/>
          <w:szCs w:val="22"/>
        </w:rPr>
        <w:t>部署至</w:t>
      </w:r>
      <w:r>
        <w:rPr>
          <w:rFonts w:hint="eastAsia"/>
          <w:sz w:val="20"/>
          <w:szCs w:val="22"/>
          <w:lang w:val="en-US" w:eastAsia="zh-CN"/>
        </w:rPr>
        <w:t>原有</w:t>
      </w:r>
      <w:r>
        <w:rPr>
          <w:rFonts w:hint="eastAsia"/>
          <w:sz w:val="20"/>
          <w:szCs w:val="22"/>
        </w:rPr>
        <w:t>PACS计算存储集群服务，并入原集群可统一管理</w:t>
      </w:r>
      <w:r>
        <w:rPr>
          <w:rFonts w:hint="eastAsia"/>
          <w:sz w:val="20"/>
          <w:szCs w:val="22"/>
          <w:lang w:eastAsia="zh-CN"/>
        </w:rPr>
        <w:t>，</w:t>
      </w:r>
      <w:r>
        <w:rPr>
          <w:rFonts w:hint="eastAsia"/>
          <w:sz w:val="20"/>
          <w:szCs w:val="22"/>
        </w:rPr>
        <w:t>负责原有PACS系统数据的迁移，保证业务不中断，数据不丢失</w:t>
      </w:r>
      <w:r>
        <w:rPr>
          <w:rFonts w:hint="eastAsia"/>
          <w:sz w:val="20"/>
          <w:szCs w:val="22"/>
          <w:lang w:eastAsia="zh-CN"/>
        </w:rPr>
        <w:t>；</w:t>
      </w:r>
    </w:p>
    <w:p>
      <w:pPr>
        <w:rPr>
          <w:b/>
          <w:bCs/>
          <w:sz w:val="22"/>
          <w:szCs w:val="28"/>
        </w:rPr>
      </w:pPr>
    </w:p>
    <w:p>
      <w:pPr>
        <w:rPr>
          <w:rFonts w:hint="default"/>
          <w:b/>
          <w:bCs/>
          <w:sz w:val="22"/>
          <w:szCs w:val="28"/>
          <w:lang w:val="en-US"/>
        </w:rPr>
      </w:pPr>
      <w:r>
        <w:rPr>
          <w:rFonts w:hint="eastAsia"/>
          <w:b/>
          <w:bCs/>
          <w:sz w:val="22"/>
          <w:szCs w:val="28"/>
          <w:lang w:val="en-US" w:eastAsia="zh-CN"/>
        </w:rPr>
        <w:t>二</w:t>
      </w:r>
      <w:r>
        <w:rPr>
          <w:rFonts w:hint="eastAsia"/>
          <w:b/>
          <w:bCs/>
          <w:sz w:val="22"/>
          <w:szCs w:val="28"/>
        </w:rPr>
        <w:t>：</w:t>
      </w:r>
      <w:r>
        <w:rPr>
          <w:rFonts w:hint="eastAsia"/>
          <w:b/>
          <w:bCs/>
          <w:sz w:val="22"/>
          <w:szCs w:val="28"/>
          <w:lang w:val="en-US" w:eastAsia="zh-CN"/>
        </w:rPr>
        <w:t>核心业务存储1套</w:t>
      </w:r>
    </w:p>
    <w:p>
      <w:pPr>
        <w:numPr>
          <w:ilvl w:val="0"/>
          <w:numId w:val="2"/>
        </w:numPr>
        <w:ind w:left="425" w:leftChars="0" w:hanging="425" w:firstLineChars="0"/>
        <w:rPr>
          <w:rFonts w:hint="eastAsia"/>
          <w:sz w:val="20"/>
          <w:szCs w:val="22"/>
        </w:rPr>
      </w:pPr>
      <w:r>
        <w:rPr>
          <w:rFonts w:hint="eastAsia"/>
          <w:sz w:val="20"/>
          <w:szCs w:val="22"/>
        </w:rPr>
        <w:t>体系架构：本次配置SAN和NAS统一存储，配置NAS协议（包括NFS和CIFS）、IP SAN协议</w:t>
      </w:r>
      <w:r>
        <w:rPr>
          <w:rFonts w:hint="eastAsia"/>
          <w:sz w:val="20"/>
          <w:szCs w:val="22"/>
          <w:lang w:eastAsia="zh-CN"/>
        </w:rPr>
        <w:t>；</w:t>
      </w:r>
    </w:p>
    <w:p>
      <w:pPr>
        <w:numPr>
          <w:ilvl w:val="0"/>
          <w:numId w:val="2"/>
        </w:numPr>
        <w:ind w:left="425" w:leftChars="0" w:hanging="425" w:firstLineChars="0"/>
        <w:rPr>
          <w:rFonts w:hint="eastAsia"/>
          <w:sz w:val="20"/>
          <w:szCs w:val="22"/>
        </w:rPr>
      </w:pPr>
      <w:r>
        <w:rPr>
          <w:rFonts w:hint="eastAsia"/>
          <w:sz w:val="20"/>
          <w:szCs w:val="22"/>
        </w:rPr>
        <w:t>统一存储控制器：多控架构，控制器采用RDMA互联，配置≥2个控制器</w:t>
      </w:r>
      <w:r>
        <w:rPr>
          <w:rFonts w:hint="eastAsia"/>
          <w:sz w:val="20"/>
          <w:szCs w:val="22"/>
          <w:lang w:eastAsia="zh-CN"/>
        </w:rPr>
        <w:t>，</w:t>
      </w:r>
      <w:r>
        <w:rPr>
          <w:rFonts w:hint="eastAsia"/>
          <w:sz w:val="20"/>
          <w:szCs w:val="22"/>
        </w:rPr>
        <w:t>可扩展≥16个控制器。控制器CPU总核数≥</w:t>
      </w:r>
      <w:r>
        <w:rPr>
          <w:rFonts w:hint="eastAsia"/>
          <w:sz w:val="20"/>
          <w:szCs w:val="22"/>
          <w:lang w:val="en-US" w:eastAsia="zh-CN"/>
        </w:rPr>
        <w:t>60</w:t>
      </w:r>
      <w:r>
        <w:rPr>
          <w:rFonts w:hint="eastAsia"/>
          <w:sz w:val="20"/>
          <w:szCs w:val="22"/>
        </w:rPr>
        <w:t>核(不包含ASCI专用芯片核数)，主频≥2.</w:t>
      </w:r>
      <w:r>
        <w:rPr>
          <w:rFonts w:hint="eastAsia"/>
          <w:sz w:val="20"/>
          <w:szCs w:val="22"/>
          <w:lang w:val="en-US" w:eastAsia="zh-CN"/>
        </w:rPr>
        <w:t>5</w:t>
      </w:r>
      <w:r>
        <w:rPr>
          <w:rFonts w:hint="eastAsia"/>
          <w:sz w:val="20"/>
          <w:szCs w:val="22"/>
        </w:rPr>
        <w:t>GHZ</w:t>
      </w:r>
      <w:r>
        <w:rPr>
          <w:rFonts w:hint="eastAsia"/>
          <w:sz w:val="20"/>
          <w:szCs w:val="22"/>
          <w:lang w:eastAsia="zh-CN"/>
        </w:rPr>
        <w:t>；</w:t>
      </w:r>
    </w:p>
    <w:p>
      <w:pPr>
        <w:numPr>
          <w:ilvl w:val="0"/>
          <w:numId w:val="2"/>
        </w:numPr>
        <w:ind w:left="425" w:leftChars="0" w:hanging="425" w:firstLineChars="0"/>
        <w:rPr>
          <w:rFonts w:hint="eastAsia"/>
          <w:sz w:val="20"/>
          <w:szCs w:val="22"/>
        </w:rPr>
      </w:pPr>
      <w:r>
        <w:rPr>
          <w:rFonts w:hint="eastAsia"/>
          <w:sz w:val="20"/>
          <w:szCs w:val="22"/>
        </w:rPr>
        <w:t>存储缓存容量：</w:t>
      </w:r>
      <w:r>
        <w:rPr>
          <w:rFonts w:hint="eastAsia"/>
          <w:sz w:val="20"/>
          <w:szCs w:val="22"/>
          <w:lang w:val="en-US" w:eastAsia="zh-CN"/>
        </w:rPr>
        <w:t>总</w:t>
      </w:r>
      <w:r>
        <w:rPr>
          <w:rFonts w:hint="eastAsia"/>
          <w:sz w:val="20"/>
          <w:szCs w:val="22"/>
        </w:rPr>
        <w:t>缓存≥128GB（不含任何性能加速模块、FlashCache、SSD Cache等），缓存具备UPS断电保护功能</w:t>
      </w:r>
      <w:r>
        <w:rPr>
          <w:rFonts w:hint="eastAsia"/>
          <w:sz w:val="20"/>
          <w:szCs w:val="22"/>
          <w:lang w:eastAsia="zh-CN"/>
        </w:rPr>
        <w:t>；</w:t>
      </w:r>
    </w:p>
    <w:p>
      <w:pPr>
        <w:numPr>
          <w:ilvl w:val="0"/>
          <w:numId w:val="2"/>
        </w:numPr>
        <w:ind w:left="425" w:leftChars="0" w:hanging="425" w:firstLineChars="0"/>
        <w:rPr>
          <w:rFonts w:hint="eastAsia"/>
          <w:sz w:val="20"/>
          <w:szCs w:val="22"/>
        </w:rPr>
      </w:pPr>
      <w:r>
        <w:rPr>
          <w:rFonts w:hint="eastAsia"/>
          <w:sz w:val="20"/>
          <w:szCs w:val="22"/>
        </w:rPr>
        <w:t>支持8/16/32Gbps FC、10/25/40/100Gbps iSCSI接口。具备控制器在线主机接口IO模块热拔插功能，双控制器最大支持6个热插拔I\O模块数；本次存储配置8个10GE光口、8个1GE接口和8个16G FC接口</w:t>
      </w:r>
      <w:r>
        <w:rPr>
          <w:rFonts w:hint="eastAsia"/>
          <w:sz w:val="20"/>
          <w:szCs w:val="22"/>
          <w:lang w:eastAsia="zh-CN"/>
        </w:rPr>
        <w:t>（</w:t>
      </w:r>
      <w:r>
        <w:rPr>
          <w:rFonts w:hint="eastAsia"/>
          <w:sz w:val="20"/>
          <w:szCs w:val="22"/>
          <w:lang w:val="en-US" w:eastAsia="zh-CN"/>
        </w:rPr>
        <w:t>配置FC光模块）</w:t>
      </w:r>
      <w:r>
        <w:rPr>
          <w:rFonts w:hint="eastAsia"/>
          <w:sz w:val="20"/>
          <w:szCs w:val="22"/>
        </w:rPr>
        <w:t>；</w:t>
      </w:r>
    </w:p>
    <w:p>
      <w:pPr>
        <w:numPr>
          <w:ilvl w:val="0"/>
          <w:numId w:val="2"/>
        </w:numPr>
        <w:ind w:left="425" w:leftChars="0" w:hanging="425" w:firstLineChars="0"/>
        <w:rPr>
          <w:rFonts w:hint="default" w:eastAsiaTheme="minorEastAsia"/>
          <w:lang w:val="en-US" w:eastAsia="zh-CN"/>
        </w:rPr>
      </w:pPr>
      <w:r>
        <w:rPr>
          <w:rFonts w:hint="eastAsia"/>
          <w:sz w:val="20"/>
          <w:szCs w:val="22"/>
        </w:rPr>
        <w:t>存储系统支持磁盘数≥1000块。本次配置4块960GB SSD SAS 硬盘</w:t>
      </w:r>
      <w:r>
        <w:rPr>
          <w:rFonts w:hint="eastAsia"/>
          <w:color w:val="auto"/>
          <w:sz w:val="20"/>
          <w:szCs w:val="22"/>
          <w:lang w:val="en-US" w:eastAsia="zh-CN"/>
        </w:rPr>
        <w:t>和18</w:t>
      </w:r>
      <w:r>
        <w:rPr>
          <w:rFonts w:hint="eastAsia"/>
          <w:color w:val="auto"/>
          <w:sz w:val="20"/>
          <w:szCs w:val="22"/>
        </w:rPr>
        <w:t>块2.4T 2.5</w:t>
      </w:r>
      <w:r>
        <w:rPr>
          <w:rFonts w:hint="eastAsia"/>
          <w:sz w:val="20"/>
          <w:szCs w:val="22"/>
        </w:rPr>
        <w:t>寸10K SAS硬盘；</w:t>
      </w:r>
      <w:r>
        <w:rPr>
          <w:rFonts w:hint="default"/>
          <w:sz w:val="20"/>
          <w:szCs w:val="22"/>
          <w:lang w:val="en-US" w:eastAsia="zh-CN"/>
        </w:rPr>
        <w:t>提供RAID5、RAID6</w:t>
      </w:r>
      <w:r>
        <w:rPr>
          <w:rFonts w:hint="eastAsia"/>
          <w:sz w:val="20"/>
          <w:szCs w:val="22"/>
          <w:lang w:val="en-US" w:eastAsia="zh-CN"/>
        </w:rPr>
        <w:t>下</w:t>
      </w:r>
      <w:r>
        <w:rPr>
          <w:rFonts w:hint="default"/>
          <w:sz w:val="20"/>
          <w:szCs w:val="22"/>
          <w:lang w:val="en-US" w:eastAsia="zh-CN"/>
        </w:rPr>
        <w:t>容忍三盘同时失效</w:t>
      </w:r>
      <w:r>
        <w:rPr>
          <w:rFonts w:hint="eastAsia"/>
          <w:sz w:val="20"/>
          <w:szCs w:val="22"/>
          <w:lang w:val="en-US" w:eastAsia="zh-CN"/>
        </w:rPr>
        <w:t>；</w:t>
      </w:r>
    </w:p>
    <w:p>
      <w:pPr>
        <w:numPr>
          <w:ilvl w:val="0"/>
          <w:numId w:val="2"/>
        </w:numPr>
        <w:ind w:left="425" w:leftChars="0" w:hanging="425" w:firstLineChars="0"/>
        <w:rPr>
          <w:rFonts w:hint="eastAsia"/>
          <w:sz w:val="20"/>
          <w:szCs w:val="22"/>
        </w:rPr>
      </w:pPr>
      <w:r>
        <w:rPr>
          <w:rFonts w:hint="eastAsia"/>
          <w:sz w:val="20"/>
          <w:szCs w:val="22"/>
        </w:rPr>
        <w:t>配置自动精简功能、存储瘦分配功能、数据销毁功能、多租户功能，配置存储多路径软件</w:t>
      </w:r>
      <w:r>
        <w:rPr>
          <w:rFonts w:hint="eastAsia"/>
          <w:sz w:val="20"/>
          <w:szCs w:val="22"/>
          <w:lang w:eastAsia="zh-CN"/>
        </w:rPr>
        <w:t>；</w:t>
      </w:r>
      <w:r>
        <w:rPr>
          <w:rFonts w:hint="eastAsia"/>
          <w:sz w:val="20"/>
          <w:szCs w:val="22"/>
        </w:rPr>
        <w:t>配置NAS功能，提供NFS、CIFS、NDMP、多租户、全局命名空间、日志审计、目录配额等功能</w:t>
      </w:r>
      <w:r>
        <w:rPr>
          <w:rFonts w:hint="eastAsia"/>
          <w:sz w:val="20"/>
          <w:szCs w:val="22"/>
          <w:lang w:eastAsia="zh-CN"/>
        </w:rPr>
        <w:t>；</w:t>
      </w:r>
      <w:r>
        <w:rPr>
          <w:rFonts w:hint="eastAsia"/>
          <w:sz w:val="20"/>
          <w:szCs w:val="22"/>
          <w:lang w:val="en-US" w:eastAsia="zh-CN"/>
        </w:rPr>
        <w:t>配置san 功能包，包含智能加速、异构虚拟化、LUN迁移、快照、远程复制、克隆、阵列双活、持续数据保护等功能；</w:t>
      </w:r>
    </w:p>
    <w:p>
      <w:pPr>
        <w:numPr>
          <w:ilvl w:val="0"/>
          <w:numId w:val="2"/>
        </w:numPr>
        <w:ind w:left="425" w:leftChars="0" w:hanging="425" w:firstLineChars="0"/>
        <w:rPr>
          <w:rFonts w:hint="eastAsia"/>
          <w:sz w:val="20"/>
          <w:szCs w:val="22"/>
          <w:lang w:val="en-US" w:eastAsia="zh-CN"/>
        </w:rPr>
      </w:pPr>
      <w:r>
        <w:rPr>
          <w:rFonts w:hint="eastAsia"/>
          <w:sz w:val="20"/>
          <w:szCs w:val="22"/>
          <w:lang w:val="en-US" w:eastAsia="zh-CN"/>
        </w:rPr>
        <w:t>扩展与可管理性 ：支持与原有华为5310V5组成双活，配置图形化的管理软件，包括：盘阵，卷管理软件；</w:t>
      </w:r>
    </w:p>
    <w:p>
      <w:pPr>
        <w:pStyle w:val="2"/>
        <w:rPr>
          <w:rFonts w:hint="eastAsia"/>
          <w:lang w:val="en-US" w:eastAsia="zh-CN"/>
        </w:rPr>
      </w:pPr>
    </w:p>
    <w:p>
      <w:pPr>
        <w:rPr>
          <w:rFonts w:hint="default"/>
          <w:b/>
          <w:bCs/>
          <w:sz w:val="22"/>
          <w:szCs w:val="28"/>
          <w:lang w:val="en-US" w:eastAsia="zh-CN"/>
        </w:rPr>
      </w:pPr>
      <w:r>
        <w:rPr>
          <w:rFonts w:hint="eastAsia"/>
          <w:b/>
          <w:bCs/>
          <w:sz w:val="22"/>
          <w:szCs w:val="28"/>
          <w:lang w:val="en-US" w:eastAsia="zh-CN"/>
        </w:rPr>
        <w:t>三：备份存储系统扩容 1套</w:t>
      </w:r>
    </w:p>
    <w:p>
      <w:pPr>
        <w:numPr>
          <w:ilvl w:val="0"/>
          <w:numId w:val="3"/>
        </w:numPr>
        <w:ind w:left="425" w:leftChars="0" w:hanging="425" w:firstLineChars="0"/>
        <w:rPr>
          <w:rFonts w:hint="eastAsia"/>
          <w:sz w:val="20"/>
          <w:szCs w:val="22"/>
          <w:lang w:val="en-US" w:eastAsia="zh-CN"/>
        </w:rPr>
      </w:pPr>
      <w:r>
        <w:rPr>
          <w:rFonts w:hint="eastAsia"/>
          <w:sz w:val="20"/>
          <w:szCs w:val="22"/>
          <w:lang w:val="en-US" w:eastAsia="zh-CN"/>
        </w:rPr>
        <w:t>系统配置Window/Linux整机实时块级保护授权许可及接管许可，含实时与定时数据备份功能模块，提供≥12TB容灾保护容量授权，在容量授权范围内，包含不限数量整机CDP实时备份功能授权，不限制验证主机数量授权、不限制热备容灾接管主机数量授权、不限制主备切换任务数授权、不限制接管恢复授权、不限制备份恢复授权（提供包括客户端无限制授权、容灾接管个数无限制、主备切换个数无限制证明）；</w:t>
      </w:r>
    </w:p>
    <w:p>
      <w:pPr>
        <w:numPr>
          <w:ilvl w:val="0"/>
          <w:numId w:val="3"/>
        </w:numPr>
        <w:ind w:left="425" w:leftChars="0" w:hanging="425" w:firstLineChars="0"/>
        <w:rPr>
          <w:rFonts w:hint="eastAsia"/>
          <w:sz w:val="20"/>
          <w:szCs w:val="22"/>
          <w:lang w:val="en-US" w:eastAsia="zh-CN"/>
        </w:rPr>
      </w:pPr>
      <w:r>
        <w:rPr>
          <w:rFonts w:hint="eastAsia"/>
          <w:sz w:val="20"/>
          <w:szCs w:val="22"/>
          <w:lang w:val="en-US" w:eastAsia="zh-CN"/>
        </w:rPr>
        <w:t>系统基于WEB统一管理，集CDP持续数据保护、定时备份、资源管理、容灾体系管理为一体的灾难恢复管理平台，可在统一管理平台下完成如下功能：CDP实时数据保护、业务接管、容灾演练、数据存储、基于数据的快速恢复、数据和备份介质分析、搜索和查询、大屏监控等功能；</w:t>
      </w:r>
    </w:p>
    <w:p>
      <w:pPr>
        <w:numPr>
          <w:ilvl w:val="0"/>
          <w:numId w:val="3"/>
        </w:numPr>
        <w:ind w:left="425" w:leftChars="0" w:hanging="425" w:firstLineChars="0"/>
        <w:rPr>
          <w:rFonts w:hint="eastAsia"/>
          <w:color w:val="auto"/>
          <w:sz w:val="20"/>
          <w:szCs w:val="22"/>
          <w:lang w:val="en-US" w:eastAsia="zh-CN"/>
        </w:rPr>
      </w:pPr>
      <w:r>
        <w:rPr>
          <w:rFonts w:hint="eastAsia"/>
          <w:sz w:val="20"/>
          <w:szCs w:val="22"/>
          <w:lang w:val="en-US" w:eastAsia="zh-CN"/>
        </w:rPr>
        <w:t>提供基于磁盘块级别的持续数据保护（CDP）技术，可对东华Cache、Oracle、Mysql、Sqlserver等数据库提供任意I/O操作精确到秒级进行记录，同时产生连续的无限数量恢复点，当系统出现故障后可恢复至任意选</w:t>
      </w:r>
      <w:r>
        <w:rPr>
          <w:rFonts w:hint="eastAsia"/>
          <w:color w:val="auto"/>
          <w:sz w:val="20"/>
          <w:szCs w:val="22"/>
          <w:lang w:val="en-US" w:eastAsia="zh-CN"/>
        </w:rPr>
        <w:t>定时间点；</w:t>
      </w:r>
    </w:p>
    <w:p>
      <w:pPr>
        <w:numPr>
          <w:ilvl w:val="0"/>
          <w:numId w:val="3"/>
        </w:numPr>
        <w:ind w:left="425" w:leftChars="0" w:hanging="425" w:firstLineChars="0"/>
        <w:rPr>
          <w:rFonts w:hint="eastAsia"/>
          <w:color w:val="auto"/>
          <w:sz w:val="20"/>
          <w:szCs w:val="22"/>
          <w:lang w:val="en-US" w:eastAsia="zh-CN"/>
        </w:rPr>
      </w:pPr>
      <w:r>
        <w:rPr>
          <w:rFonts w:hint="eastAsia"/>
          <w:color w:val="auto"/>
          <w:sz w:val="20"/>
          <w:szCs w:val="22"/>
          <w:lang w:val="en-US" w:eastAsia="zh-CN"/>
        </w:rPr>
        <w:t>满足东华Cache、Oracle、Mysql、Sqlserver等数据库的快速容灾：假设核心业务系统硬件、操作系统、数据库以及服务等造成业务系统下线的情况出现，容灾设备可接管任意时间点的生产系统状态，并在10分钟内启动业务接管，接管主机环境保持与源主机完全相同，如磁盘分区结构、系统环境、程序配置信息等（提供业务接管的整个操作步骤截图）；</w:t>
      </w:r>
    </w:p>
    <w:p>
      <w:pPr>
        <w:numPr>
          <w:ilvl w:val="0"/>
          <w:numId w:val="3"/>
        </w:numPr>
        <w:ind w:left="425" w:leftChars="0" w:hanging="425" w:firstLineChars="0"/>
        <w:rPr>
          <w:rFonts w:hint="eastAsia"/>
          <w:color w:val="auto"/>
          <w:sz w:val="20"/>
          <w:szCs w:val="22"/>
          <w:lang w:val="en-US" w:eastAsia="zh-CN"/>
        </w:rPr>
      </w:pPr>
      <w:r>
        <w:rPr>
          <w:rFonts w:hint="eastAsia"/>
          <w:color w:val="auto"/>
          <w:sz w:val="20"/>
          <w:szCs w:val="22"/>
          <w:lang w:val="en-US" w:eastAsia="zh-CN"/>
        </w:rPr>
        <w:t>系统平台提供逻辑隔离网络环境，可根据实际网络情况，自定义配置接管网络、验证网络及接管外网访问网络，用于容灾演练、应急接管、数据验证等场景；</w:t>
      </w:r>
    </w:p>
    <w:p>
      <w:pPr>
        <w:numPr>
          <w:ilvl w:val="0"/>
          <w:numId w:val="3"/>
        </w:numPr>
        <w:ind w:left="425" w:leftChars="0" w:hanging="425" w:firstLineChars="0"/>
        <w:rPr>
          <w:rFonts w:hint="eastAsia"/>
          <w:color w:val="auto"/>
          <w:sz w:val="20"/>
          <w:szCs w:val="22"/>
          <w:lang w:val="en-US" w:eastAsia="zh-CN"/>
        </w:rPr>
      </w:pPr>
      <w:r>
        <w:rPr>
          <w:rFonts w:hint="eastAsia"/>
          <w:color w:val="auto"/>
          <w:sz w:val="20"/>
          <w:szCs w:val="22"/>
          <w:lang w:val="en-US" w:eastAsia="zh-CN"/>
        </w:rPr>
        <w:t>容灾系统数据恢复颗粒度可选择（整机、整盘、分区/卷恢复），支持接管恢复、备份恢复、实时恢复据等多种类型的数据恢复方式。（提供备份恢复/接管恢复/实时恢复的功能截图）；</w:t>
      </w:r>
    </w:p>
    <w:p>
      <w:pPr>
        <w:numPr>
          <w:ilvl w:val="0"/>
          <w:numId w:val="3"/>
        </w:numPr>
        <w:ind w:left="425" w:leftChars="0" w:hanging="425" w:firstLineChars="0"/>
        <w:rPr>
          <w:rFonts w:hint="eastAsia"/>
          <w:color w:val="auto"/>
          <w:sz w:val="20"/>
          <w:szCs w:val="22"/>
          <w:lang w:val="en-US" w:eastAsia="zh-CN"/>
        </w:rPr>
      </w:pPr>
      <w:r>
        <w:rPr>
          <w:rFonts w:hint="eastAsia"/>
          <w:color w:val="auto"/>
          <w:sz w:val="20"/>
          <w:szCs w:val="22"/>
          <w:lang w:val="en-US" w:eastAsia="zh-CN"/>
        </w:rPr>
        <w:t>备份任务因不可控因素中断后，需支持断点续传，且无需重新校</w:t>
      </w:r>
      <w:bookmarkStart w:id="0" w:name="_GoBack"/>
      <w:bookmarkEnd w:id="0"/>
      <w:r>
        <w:rPr>
          <w:rFonts w:hint="eastAsia"/>
          <w:color w:val="auto"/>
          <w:sz w:val="20"/>
          <w:szCs w:val="22"/>
          <w:lang w:val="en-US" w:eastAsia="zh-CN"/>
        </w:rPr>
        <w:t>验之前数据；</w:t>
      </w:r>
    </w:p>
    <w:p>
      <w:pPr>
        <w:numPr>
          <w:ilvl w:val="0"/>
          <w:numId w:val="3"/>
        </w:numPr>
        <w:ind w:left="425" w:leftChars="0" w:hanging="425" w:firstLineChars="0"/>
        <w:rPr>
          <w:rFonts w:hint="eastAsia"/>
          <w:color w:val="auto"/>
          <w:sz w:val="20"/>
          <w:szCs w:val="22"/>
          <w:lang w:val="en-US" w:eastAsia="zh-CN"/>
        </w:rPr>
      </w:pPr>
      <w:r>
        <w:rPr>
          <w:rFonts w:hint="eastAsia"/>
          <w:color w:val="auto"/>
          <w:sz w:val="20"/>
          <w:szCs w:val="22"/>
          <w:lang w:val="en-US" w:eastAsia="zh-CN"/>
        </w:rPr>
        <w:t>系统平台提供数据检验功能，业务系统可灵活制定备份数据校验计划，在原生产业务系统正常运行的情况下，选择任意时间点备份数据，进行业务数据验证。整个数据验证过程中，与生产环境完全隔离，不影响原生产业务系统正常运行（提供系统软件自定义备份数据校验功能截图）；</w:t>
      </w:r>
    </w:p>
    <w:p>
      <w:pPr>
        <w:numPr>
          <w:ilvl w:val="0"/>
          <w:numId w:val="3"/>
        </w:numPr>
        <w:ind w:left="425" w:leftChars="0" w:hanging="425" w:firstLineChars="0"/>
        <w:rPr>
          <w:rFonts w:hint="eastAsia"/>
          <w:lang w:val="en-US" w:eastAsia="zh-CN"/>
        </w:rPr>
      </w:pPr>
      <w:r>
        <w:rPr>
          <w:rFonts w:hint="eastAsia"/>
          <w:sz w:val="20"/>
          <w:szCs w:val="22"/>
          <w:lang w:val="en-US" w:eastAsia="zh-CN"/>
        </w:rPr>
        <w:t>支持仪表板显示功能，可自定义设置实时动态轮播设置，如对计算资源、存储资源和容灾网络资源的展示，客户端主机运行情况的实时动态轮播等。</w:t>
      </w:r>
    </w:p>
    <w:p>
      <w:pPr>
        <w:numPr>
          <w:ilvl w:val="0"/>
          <w:numId w:val="3"/>
        </w:numPr>
        <w:ind w:left="425" w:leftChars="0" w:hanging="425" w:firstLineChars="0"/>
        <w:rPr>
          <w:rFonts w:hint="eastAsia"/>
          <w:color w:val="auto"/>
          <w:lang w:val="en-US" w:eastAsia="zh-CN"/>
        </w:rPr>
      </w:pPr>
      <w:r>
        <w:rPr>
          <w:rFonts w:hint="eastAsia"/>
          <w:color w:val="auto"/>
          <w:sz w:val="20"/>
          <w:szCs w:val="22"/>
          <w:lang w:val="en-US" w:eastAsia="zh-CN"/>
        </w:rPr>
        <w:t>备份存储扩容：原有H3C UniServer配置≥2.4TB 12G SAS 10K 2.5</w:t>
      </w:r>
      <w:r>
        <w:rPr>
          <w:rFonts w:hint="eastAsia"/>
          <w:sz w:val="20"/>
          <w:szCs w:val="22"/>
        </w:rPr>
        <w:t>"</w:t>
      </w:r>
      <w:r>
        <w:rPr>
          <w:rFonts w:hint="eastAsia"/>
          <w:color w:val="auto"/>
          <w:sz w:val="20"/>
          <w:szCs w:val="22"/>
          <w:lang w:val="en-US" w:eastAsia="zh-CN"/>
        </w:rPr>
        <w:t xml:space="preserve"> 硬盘 ≥8块（RAID</w:t>
      </w:r>
      <w:r>
        <w:rPr>
          <w:rFonts w:hint="eastAsia"/>
          <w:sz w:val="20"/>
          <w:szCs w:val="22"/>
          <w:lang w:val="en-US" w:eastAsia="zh-CN"/>
        </w:rPr>
        <w:t>后不低于</w:t>
      </w:r>
      <w:r>
        <w:rPr>
          <w:rFonts w:hint="eastAsia"/>
          <w:sz w:val="20"/>
          <w:szCs w:val="22"/>
        </w:rPr>
        <w:t>容灾保护容量授权</w:t>
      </w:r>
      <w:r>
        <w:rPr>
          <w:rFonts w:hint="eastAsia"/>
          <w:sz w:val="20"/>
          <w:szCs w:val="22"/>
          <w:lang w:val="en-US" w:eastAsia="zh-CN"/>
        </w:rPr>
        <w:t>大小）</w:t>
      </w:r>
      <w:r>
        <w:rPr>
          <w:rFonts w:hint="eastAsia"/>
          <w:color w:val="auto"/>
          <w:sz w:val="20"/>
          <w:szCs w:val="22"/>
          <w:lang w:val="en-US" w:eastAsia="zh-CN"/>
        </w:rPr>
        <w:t>、4SFF硬盘扩展模块3个、12Gb 4端口SAS RAID卡(带4GB缓存,支持16个SAS口,PCIe)1块、G3超级电容模块1个，要求原厂原装，作为备份存储空间使用</w:t>
      </w:r>
      <w:r>
        <w:rPr>
          <w:rFonts w:hint="eastAsia"/>
          <w:color w:val="auto"/>
          <w:sz w:val="20"/>
          <w:szCs w:val="22"/>
        </w:rPr>
        <w:t>；</w:t>
      </w:r>
    </w:p>
    <w:p>
      <w:pPr>
        <w:pStyle w:val="2"/>
        <w:ind w:left="0" w:leftChars="0" w:firstLine="0" w:firstLineChars="0"/>
        <w:rPr>
          <w:rFonts w:hint="eastAsia"/>
          <w:lang w:val="en-US" w:eastAsia="zh-CN"/>
        </w:rPr>
      </w:pPr>
    </w:p>
    <w:p>
      <w:pPr>
        <w:rPr>
          <w:rFonts w:hint="default" w:eastAsiaTheme="minorEastAsia"/>
          <w:b/>
          <w:bCs/>
          <w:sz w:val="22"/>
          <w:szCs w:val="28"/>
          <w:lang w:val="en-US" w:eastAsia="zh-CN"/>
        </w:rPr>
      </w:pPr>
      <w:r>
        <w:rPr>
          <w:rFonts w:hint="eastAsia"/>
          <w:b/>
          <w:bCs/>
          <w:sz w:val="22"/>
          <w:szCs w:val="28"/>
          <w:lang w:val="en-US" w:eastAsia="zh-CN"/>
        </w:rPr>
        <w:t>四：</w:t>
      </w:r>
      <w:r>
        <w:rPr>
          <w:rFonts w:hint="eastAsia"/>
          <w:b/>
          <w:bCs/>
          <w:sz w:val="22"/>
          <w:szCs w:val="28"/>
        </w:rPr>
        <w:t>存储（扩容）</w:t>
      </w:r>
      <w:r>
        <w:rPr>
          <w:rFonts w:hint="eastAsia"/>
          <w:b/>
          <w:bCs/>
          <w:sz w:val="22"/>
          <w:szCs w:val="28"/>
          <w:lang w:val="en-US" w:eastAsia="zh-CN"/>
        </w:rPr>
        <w:t xml:space="preserve"> 1套 </w:t>
      </w:r>
    </w:p>
    <w:p>
      <w:pPr>
        <w:numPr>
          <w:ilvl w:val="0"/>
          <w:numId w:val="4"/>
        </w:numPr>
        <w:ind w:left="425" w:leftChars="0" w:hanging="425" w:firstLineChars="0"/>
        <w:rPr>
          <w:rFonts w:hint="eastAsia"/>
          <w:sz w:val="20"/>
          <w:szCs w:val="22"/>
        </w:rPr>
      </w:pPr>
      <w:r>
        <w:rPr>
          <w:rFonts w:hint="eastAsia"/>
          <w:sz w:val="20"/>
          <w:szCs w:val="22"/>
        </w:rPr>
        <w:t>华为2200V3</w:t>
      </w:r>
      <w:r>
        <w:rPr>
          <w:rFonts w:hint="eastAsia"/>
          <w:sz w:val="20"/>
          <w:szCs w:val="22"/>
          <w:lang w:val="en-US" w:eastAsia="zh-CN"/>
        </w:rPr>
        <w:t xml:space="preserve"> 10</w:t>
      </w:r>
      <w:r>
        <w:rPr>
          <w:rFonts w:hint="eastAsia"/>
          <w:sz w:val="20"/>
          <w:szCs w:val="22"/>
        </w:rPr>
        <w:t xml:space="preserve">TB 7.2K RPM NL SAS硬盘单元(3.5")  </w:t>
      </w:r>
      <w:r>
        <w:rPr>
          <w:rFonts w:hint="eastAsia"/>
          <w:sz w:val="20"/>
          <w:szCs w:val="22"/>
          <w:lang w:val="en-US" w:eastAsia="zh-CN"/>
        </w:rPr>
        <w:t>12块，提供从惠普P2000存储迁移数据至本存储设备，保证数据迁移时业务不中断，不丢失。承担数据迁移时数据丢失风险。</w:t>
      </w:r>
    </w:p>
    <w:p>
      <w:pPr>
        <w:numPr>
          <w:ilvl w:val="0"/>
          <w:numId w:val="4"/>
        </w:numPr>
        <w:ind w:left="425" w:leftChars="0" w:hanging="425" w:firstLineChars="0"/>
        <w:rPr>
          <w:rFonts w:hint="eastAsia"/>
          <w:color w:val="auto"/>
        </w:rPr>
      </w:pPr>
      <w:r>
        <w:rPr>
          <w:rFonts w:hint="eastAsia"/>
          <w:color w:val="auto"/>
          <w:sz w:val="20"/>
          <w:szCs w:val="22"/>
        </w:rPr>
        <w:t>华为</w:t>
      </w:r>
      <w:r>
        <w:rPr>
          <w:rFonts w:hint="eastAsia"/>
          <w:color w:val="auto"/>
          <w:sz w:val="20"/>
          <w:szCs w:val="22"/>
          <w:lang w:val="en-US" w:eastAsia="zh-CN"/>
        </w:rPr>
        <w:t xml:space="preserve">5110 </w:t>
      </w:r>
      <w:r>
        <w:rPr>
          <w:rFonts w:hint="eastAsia"/>
          <w:color w:val="auto"/>
          <w:sz w:val="20"/>
          <w:szCs w:val="22"/>
        </w:rPr>
        <w:t>V</w:t>
      </w:r>
      <w:r>
        <w:rPr>
          <w:rFonts w:hint="eastAsia"/>
          <w:color w:val="auto"/>
          <w:sz w:val="20"/>
          <w:szCs w:val="22"/>
          <w:lang w:val="en-US" w:eastAsia="zh-CN"/>
        </w:rPr>
        <w:t>5</w:t>
      </w:r>
      <w:r>
        <w:rPr>
          <w:rFonts w:hint="eastAsia"/>
          <w:color w:val="auto"/>
          <w:sz w:val="20"/>
          <w:szCs w:val="22"/>
        </w:rPr>
        <w:t>存储硬盘扩展</w:t>
      </w:r>
      <w:r>
        <w:rPr>
          <w:rFonts w:hint="eastAsia"/>
          <w:color w:val="auto"/>
          <w:sz w:val="20"/>
          <w:szCs w:val="22"/>
          <w:lang w:val="en-US" w:eastAsia="zh-CN"/>
        </w:rPr>
        <w:t>柜1个，配</w:t>
      </w:r>
      <w:r>
        <w:rPr>
          <w:rFonts w:hint="eastAsia"/>
          <w:color w:val="auto"/>
          <w:sz w:val="20"/>
          <w:szCs w:val="22"/>
        </w:rPr>
        <w:t>华为</w:t>
      </w:r>
      <w:r>
        <w:rPr>
          <w:rFonts w:hint="eastAsia"/>
          <w:color w:val="auto"/>
          <w:sz w:val="20"/>
          <w:szCs w:val="22"/>
          <w:lang w:val="en-US" w:eastAsia="zh-CN"/>
        </w:rPr>
        <w:t xml:space="preserve">5110 </w:t>
      </w:r>
      <w:r>
        <w:rPr>
          <w:rFonts w:hint="eastAsia"/>
          <w:color w:val="auto"/>
          <w:sz w:val="20"/>
          <w:szCs w:val="22"/>
        </w:rPr>
        <w:t>V</w:t>
      </w:r>
      <w:r>
        <w:rPr>
          <w:rFonts w:hint="eastAsia"/>
          <w:color w:val="auto"/>
          <w:sz w:val="20"/>
          <w:szCs w:val="22"/>
          <w:lang w:val="en-US" w:eastAsia="zh-CN"/>
        </w:rPr>
        <w:t>5 6</w:t>
      </w:r>
      <w:r>
        <w:rPr>
          <w:rFonts w:hint="eastAsia"/>
          <w:color w:val="auto"/>
          <w:sz w:val="20"/>
          <w:szCs w:val="22"/>
        </w:rPr>
        <w:t xml:space="preserve">TB 7.2K RPM NL SAS硬盘单元(3.5") </w:t>
      </w:r>
      <w:r>
        <w:rPr>
          <w:rFonts w:hint="eastAsia"/>
          <w:color w:val="auto"/>
          <w:sz w:val="20"/>
          <w:szCs w:val="22"/>
          <w:lang w:val="en-US" w:eastAsia="zh-CN"/>
        </w:rPr>
        <w:t>6块</w:t>
      </w:r>
    </w:p>
    <w:p>
      <w:pPr>
        <w:rPr>
          <w:rFonts w:hint="eastAsia"/>
          <w:b/>
          <w:bCs/>
          <w:sz w:val="22"/>
          <w:szCs w:val="28"/>
          <w:lang w:val="en-US" w:eastAsia="zh-CN"/>
        </w:rPr>
      </w:pPr>
    </w:p>
    <w:p>
      <w:pPr>
        <w:rPr>
          <w:rFonts w:hint="eastAsia"/>
          <w:b/>
          <w:bCs/>
          <w:sz w:val="22"/>
          <w:szCs w:val="28"/>
          <w:lang w:val="en-US" w:eastAsia="zh-CN"/>
        </w:rPr>
      </w:pPr>
    </w:p>
    <w:p>
      <w:pPr>
        <w:rPr>
          <w:rFonts w:hint="default"/>
          <w:b/>
          <w:bCs/>
          <w:sz w:val="22"/>
          <w:szCs w:val="28"/>
          <w:lang w:val="en-US" w:eastAsia="zh-CN"/>
        </w:rPr>
      </w:pPr>
      <w:r>
        <w:rPr>
          <w:rFonts w:hint="eastAsia"/>
          <w:b/>
          <w:bCs/>
          <w:sz w:val="22"/>
          <w:szCs w:val="28"/>
          <w:lang w:val="en-US" w:eastAsia="zh-CN"/>
        </w:rPr>
        <w:t xml:space="preserve">五：存储光纤交换机  2台 </w:t>
      </w:r>
    </w:p>
    <w:p>
      <w:pPr>
        <w:pStyle w:val="9"/>
        <w:spacing w:line="240" w:lineRule="auto"/>
        <w:ind w:left="0" w:leftChars="0" w:firstLine="0" w:firstLineChars="0"/>
        <w:rPr>
          <w:rFonts w:hint="default"/>
          <w:lang w:val="en-US" w:eastAsia="zh-CN"/>
        </w:rPr>
      </w:pPr>
      <w:r>
        <w:rPr>
          <w:rFonts w:hint="default"/>
          <w:lang w:val="en-US" w:eastAsia="zh-CN"/>
        </w:rPr>
        <w:t>1.</w:t>
      </w:r>
      <w:r>
        <w:rPr>
          <w:rFonts w:hint="eastAsia"/>
          <w:sz w:val="20"/>
          <w:szCs w:val="22"/>
        </w:rPr>
        <w:t>≥</w:t>
      </w:r>
      <w:r>
        <w:rPr>
          <w:rFonts w:hint="default"/>
          <w:lang w:val="en-US" w:eastAsia="zh-CN"/>
        </w:rPr>
        <w:t>24口16GB FC交换机；24口激活，满配</w:t>
      </w:r>
      <w:r>
        <w:rPr>
          <w:rFonts w:hint="eastAsia"/>
          <w:sz w:val="20"/>
          <w:szCs w:val="22"/>
        </w:rPr>
        <w:t>≥</w:t>
      </w:r>
      <w:r>
        <w:rPr>
          <w:rFonts w:hint="default"/>
          <w:lang w:val="en-US" w:eastAsia="zh-CN"/>
        </w:rPr>
        <w:t>24个原厂16G光纤模块。</w:t>
      </w:r>
    </w:p>
    <w:p>
      <w:pPr>
        <w:pStyle w:val="9"/>
        <w:spacing w:line="240" w:lineRule="auto"/>
        <w:ind w:left="0" w:leftChars="0" w:firstLine="0" w:firstLineChars="0"/>
        <w:rPr>
          <w:rFonts w:hint="default"/>
          <w:lang w:val="en-US" w:eastAsia="zh-CN"/>
        </w:rPr>
      </w:pPr>
      <w:r>
        <w:rPr>
          <w:rFonts w:hint="default"/>
          <w:lang w:val="en-US" w:eastAsia="zh-CN"/>
        </w:rPr>
        <w:t>2.电源X2</w:t>
      </w:r>
    </w:p>
    <w:p>
      <w:pPr>
        <w:pStyle w:val="9"/>
        <w:spacing w:line="240" w:lineRule="auto"/>
        <w:ind w:left="0" w:leftChars="0" w:firstLine="0" w:firstLineChars="0"/>
        <w:rPr>
          <w:rFonts w:hint="default"/>
          <w:lang w:val="en-US" w:eastAsia="zh-CN"/>
        </w:rPr>
      </w:pPr>
      <w:r>
        <w:rPr>
          <w:rFonts w:hint="default"/>
          <w:lang w:val="en-US" w:eastAsia="zh-CN"/>
        </w:rPr>
        <w:t>3.支持虚拟化、VxLAN、集联功能</w:t>
      </w:r>
    </w:p>
    <w:p>
      <w:pPr>
        <w:rPr>
          <w:rFonts w:hint="eastAsia"/>
          <w:b/>
          <w:bCs/>
          <w:sz w:val="22"/>
          <w:szCs w:val="28"/>
          <w:lang w:val="en-US" w:eastAsia="zh-CN"/>
        </w:rPr>
      </w:pPr>
    </w:p>
    <w:p>
      <w:pPr>
        <w:rPr>
          <w:rFonts w:hint="default"/>
          <w:b/>
          <w:bCs/>
          <w:sz w:val="22"/>
          <w:szCs w:val="28"/>
          <w:lang w:val="en-US"/>
        </w:rPr>
      </w:pPr>
      <w:r>
        <w:rPr>
          <w:rFonts w:hint="eastAsia"/>
          <w:b/>
          <w:bCs/>
          <w:sz w:val="22"/>
          <w:szCs w:val="28"/>
          <w:lang w:val="en-US" w:eastAsia="zh-CN"/>
        </w:rPr>
        <w:t>六</w:t>
      </w:r>
      <w:r>
        <w:rPr>
          <w:rFonts w:hint="eastAsia"/>
          <w:b/>
          <w:bCs/>
          <w:sz w:val="22"/>
          <w:szCs w:val="28"/>
        </w:rPr>
        <w:t>、</w:t>
      </w:r>
      <w:r>
        <w:rPr>
          <w:rFonts w:hint="eastAsia"/>
          <w:b/>
          <w:bCs/>
          <w:sz w:val="22"/>
          <w:szCs w:val="28"/>
          <w:lang w:val="en-US" w:eastAsia="zh-CN"/>
        </w:rPr>
        <w:t xml:space="preserve">辅材配件1批 </w:t>
      </w:r>
    </w:p>
    <w:p>
      <w:pPr>
        <w:numPr>
          <w:ilvl w:val="0"/>
          <w:numId w:val="5"/>
        </w:numPr>
        <w:ind w:left="425" w:leftChars="0" w:hanging="425" w:firstLineChars="0"/>
        <w:rPr>
          <w:rFonts w:hint="default"/>
          <w:sz w:val="20"/>
          <w:szCs w:val="22"/>
          <w:lang w:val="en-US" w:eastAsia="zh-CN"/>
        </w:rPr>
      </w:pPr>
      <w:r>
        <w:rPr>
          <w:rFonts w:hint="eastAsia"/>
          <w:sz w:val="20"/>
          <w:szCs w:val="22"/>
          <w:lang w:val="en-US" w:eastAsia="zh-CN"/>
        </w:rPr>
        <w:t>LC-LC 15米万兆多模双芯OM3跳线10条；LC-LC 5米万兆多模双芯OM3跳线20条；</w:t>
      </w:r>
    </w:p>
    <w:p>
      <w:pPr>
        <w:numPr>
          <w:ilvl w:val="0"/>
          <w:numId w:val="5"/>
        </w:numPr>
        <w:ind w:left="425" w:leftChars="0" w:hanging="425" w:firstLineChars="0"/>
        <w:rPr>
          <w:rFonts w:hint="eastAsia"/>
          <w:sz w:val="20"/>
          <w:szCs w:val="22"/>
          <w:lang w:val="en-US" w:eastAsia="zh-CN"/>
        </w:rPr>
      </w:pPr>
      <w:r>
        <w:rPr>
          <w:rFonts w:hint="eastAsia"/>
          <w:sz w:val="20"/>
          <w:szCs w:val="22"/>
          <w:lang w:val="en-US" w:eastAsia="zh-CN"/>
        </w:rPr>
        <w:t>LC-LC 10米万兆多模双芯OM3跳线10条；LC-LC 3米万兆多模双芯OM3跳线14；LC-LC 3米多模万兆光纤跳线10条；LC-LC 15米万兆光纤跳线10条；</w:t>
      </w:r>
    </w:p>
    <w:p>
      <w:pPr>
        <w:numPr>
          <w:ilvl w:val="0"/>
          <w:numId w:val="5"/>
        </w:numPr>
        <w:ind w:left="425" w:leftChars="0" w:hanging="425" w:firstLineChars="0"/>
        <w:rPr>
          <w:rFonts w:hint="default"/>
          <w:sz w:val="20"/>
          <w:szCs w:val="22"/>
          <w:lang w:val="en-US" w:eastAsia="zh-CN"/>
        </w:rPr>
      </w:pPr>
      <w:r>
        <w:rPr>
          <w:rFonts w:hint="eastAsia"/>
          <w:sz w:val="20"/>
          <w:szCs w:val="22"/>
          <w:lang w:val="en-US" w:eastAsia="zh-CN"/>
        </w:rPr>
        <w:t>要求辅材可完成本次产品的连接，满足正常使用，如有未尽事宜可补充完善</w:t>
      </w:r>
    </w:p>
    <w:p/>
    <w:p>
      <w:pPr>
        <w:rPr>
          <w:rFonts w:hint="eastAsia"/>
          <w:b/>
          <w:bCs/>
          <w:sz w:val="22"/>
          <w:szCs w:val="28"/>
          <w:lang w:val="en-US" w:eastAsia="zh-CN"/>
        </w:rPr>
      </w:pPr>
      <w:r>
        <w:rPr>
          <w:rFonts w:hint="eastAsia"/>
          <w:b/>
          <w:bCs/>
          <w:sz w:val="22"/>
          <w:szCs w:val="28"/>
          <w:lang w:val="en-US" w:eastAsia="zh-CN"/>
        </w:rPr>
        <w:t>供货时间</w:t>
      </w:r>
    </w:p>
    <w:p>
      <w:pPr>
        <w:numPr>
          <w:ilvl w:val="0"/>
          <w:numId w:val="0"/>
        </w:numPr>
        <w:ind w:firstLine="420" w:firstLineChars="200"/>
        <w:rPr>
          <w:rFonts w:hint="default"/>
          <w:lang w:val="en-US" w:eastAsia="zh-CN"/>
        </w:rPr>
      </w:pPr>
      <w:r>
        <w:rPr>
          <w:rFonts w:hint="eastAsia"/>
          <w:lang w:val="en-US" w:eastAsia="zh-CN"/>
        </w:rPr>
        <w:t>要求20个工作日内。</w:t>
      </w:r>
    </w:p>
    <w:p>
      <w:pPr>
        <w:numPr>
          <w:ilvl w:val="0"/>
          <w:numId w:val="0"/>
        </w:numPr>
        <w:rPr>
          <w:rFonts w:hint="default"/>
          <w:lang w:val="en-US" w:eastAsia="zh-CN"/>
        </w:rPr>
      </w:pPr>
    </w:p>
    <w:p>
      <w:r>
        <w:rPr>
          <w:rFonts w:hint="eastAsia"/>
        </w:rPr>
        <w:t>本次为产品推介会</w:t>
      </w:r>
    </w:p>
    <w:p>
      <w:pPr>
        <w:rPr>
          <w:rFonts w:hint="eastAsia"/>
        </w:rPr>
      </w:pPr>
      <w:r>
        <w:rPr>
          <w:rFonts w:hint="eastAsia"/>
        </w:rPr>
        <w:t>以上项目为基本需求，如有未尽事宜可补充完善，要求</w:t>
      </w:r>
      <w:r>
        <w:rPr>
          <w:rFonts w:hint="eastAsia"/>
          <w:lang w:val="en-US" w:eastAsia="zh-CN"/>
        </w:rPr>
        <w:t>报价</w:t>
      </w:r>
      <w:r>
        <w:rPr>
          <w:rFonts w:hint="eastAsia"/>
        </w:rPr>
        <w:t>文件具备完备方案以保证各设备满足本文中业务需求并正常高效运行。</w:t>
      </w:r>
    </w:p>
    <w:p>
      <w:pPr>
        <w:rPr>
          <w:rFonts w:hint="default"/>
          <w:lang w:val="en-US" w:eastAsia="zh-CN"/>
        </w:rPr>
      </w:pPr>
      <w:r>
        <w:rPr>
          <w:rFonts w:hint="eastAsia"/>
          <w:lang w:val="en-US" w:eastAsia="zh-CN"/>
        </w:rPr>
        <w:t>报价文件中所承诺的货物性能参数、技术规格、功能因与实际交付产品完全一致或高于需求，交货时如出现不满足参数要求或产品与需求产品不一致，按虚假应标处理，并追究法律责任。</w:t>
      </w:r>
    </w:p>
    <w:p>
      <w:pPr>
        <w:rPr>
          <w:rFonts w:hint="eastAsia"/>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E6AFCC"/>
    <w:multiLevelType w:val="singleLevel"/>
    <w:tmpl w:val="87E6AFCC"/>
    <w:lvl w:ilvl="0" w:tentative="0">
      <w:start w:val="1"/>
      <w:numFmt w:val="decimal"/>
      <w:lvlText w:val="%1."/>
      <w:lvlJc w:val="left"/>
      <w:pPr>
        <w:ind w:left="425" w:hanging="425"/>
      </w:pPr>
      <w:rPr>
        <w:rFonts w:hint="default"/>
      </w:rPr>
    </w:lvl>
  </w:abstractNum>
  <w:abstractNum w:abstractNumId="1">
    <w:nsid w:val="8C29D6B6"/>
    <w:multiLevelType w:val="singleLevel"/>
    <w:tmpl w:val="8C29D6B6"/>
    <w:lvl w:ilvl="0" w:tentative="0">
      <w:start w:val="1"/>
      <w:numFmt w:val="decimal"/>
      <w:lvlText w:val="%1."/>
      <w:lvlJc w:val="left"/>
      <w:pPr>
        <w:ind w:left="425" w:hanging="425"/>
      </w:pPr>
      <w:rPr>
        <w:rFonts w:hint="default"/>
      </w:rPr>
    </w:lvl>
  </w:abstractNum>
  <w:abstractNum w:abstractNumId="2">
    <w:nsid w:val="AA9F390F"/>
    <w:multiLevelType w:val="singleLevel"/>
    <w:tmpl w:val="AA9F390F"/>
    <w:lvl w:ilvl="0" w:tentative="0">
      <w:start w:val="1"/>
      <w:numFmt w:val="decimal"/>
      <w:lvlText w:val="%1."/>
      <w:lvlJc w:val="left"/>
      <w:pPr>
        <w:ind w:left="425" w:hanging="425"/>
      </w:pPr>
      <w:rPr>
        <w:rFonts w:hint="default"/>
      </w:rPr>
    </w:lvl>
  </w:abstractNum>
  <w:abstractNum w:abstractNumId="3">
    <w:nsid w:val="CE51CED0"/>
    <w:multiLevelType w:val="singleLevel"/>
    <w:tmpl w:val="CE51CED0"/>
    <w:lvl w:ilvl="0" w:tentative="0">
      <w:start w:val="1"/>
      <w:numFmt w:val="decimal"/>
      <w:lvlText w:val="%1."/>
      <w:lvlJc w:val="left"/>
      <w:pPr>
        <w:ind w:left="425" w:hanging="425"/>
      </w:pPr>
      <w:rPr>
        <w:rFonts w:hint="default"/>
      </w:rPr>
    </w:lvl>
  </w:abstractNum>
  <w:abstractNum w:abstractNumId="4">
    <w:nsid w:val="4052D49E"/>
    <w:multiLevelType w:val="singleLevel"/>
    <w:tmpl w:val="4052D49E"/>
    <w:lvl w:ilvl="0" w:tentative="0">
      <w:start w:val="1"/>
      <w:numFmt w:val="decimal"/>
      <w:lvlText w:val="%1."/>
      <w:lvlJc w:val="left"/>
      <w:pPr>
        <w:ind w:left="425" w:hanging="425"/>
      </w:pPr>
      <w:rPr>
        <w:rFont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hYmMwNmE1N2NjZjE1NWVlOTVmNDMyYTRhNDJjZDEifQ=="/>
  </w:docVars>
  <w:rsids>
    <w:rsidRoot w:val="531F41E8"/>
    <w:rsid w:val="000002CF"/>
    <w:rsid w:val="00000763"/>
    <w:rsid w:val="000C7B36"/>
    <w:rsid w:val="000D7448"/>
    <w:rsid w:val="00111B63"/>
    <w:rsid w:val="001329A8"/>
    <w:rsid w:val="002813F7"/>
    <w:rsid w:val="00407129"/>
    <w:rsid w:val="00663F4C"/>
    <w:rsid w:val="00691BA4"/>
    <w:rsid w:val="006C19EA"/>
    <w:rsid w:val="008D02E1"/>
    <w:rsid w:val="0095510B"/>
    <w:rsid w:val="00B16B51"/>
    <w:rsid w:val="00B363B2"/>
    <w:rsid w:val="00C01DC3"/>
    <w:rsid w:val="00C70E2F"/>
    <w:rsid w:val="00DB7F86"/>
    <w:rsid w:val="00E53C9A"/>
    <w:rsid w:val="00EA6699"/>
    <w:rsid w:val="00EC13C2"/>
    <w:rsid w:val="00F376E4"/>
    <w:rsid w:val="07027789"/>
    <w:rsid w:val="08537397"/>
    <w:rsid w:val="086B7593"/>
    <w:rsid w:val="0BE963AC"/>
    <w:rsid w:val="102F6385"/>
    <w:rsid w:val="108D1EDC"/>
    <w:rsid w:val="11C45D62"/>
    <w:rsid w:val="15857FE5"/>
    <w:rsid w:val="19FA6DD2"/>
    <w:rsid w:val="1A2A64C8"/>
    <w:rsid w:val="1B8122CC"/>
    <w:rsid w:val="1BA618A8"/>
    <w:rsid w:val="23C17871"/>
    <w:rsid w:val="263B3C3E"/>
    <w:rsid w:val="268647DE"/>
    <w:rsid w:val="273D70D4"/>
    <w:rsid w:val="27515DE8"/>
    <w:rsid w:val="2833148E"/>
    <w:rsid w:val="28626C14"/>
    <w:rsid w:val="2CB92076"/>
    <w:rsid w:val="30EE5F6E"/>
    <w:rsid w:val="32BA7393"/>
    <w:rsid w:val="33672148"/>
    <w:rsid w:val="3410389C"/>
    <w:rsid w:val="3A056ACA"/>
    <w:rsid w:val="3A464B01"/>
    <w:rsid w:val="3B411D20"/>
    <w:rsid w:val="3E0E1692"/>
    <w:rsid w:val="40C2529B"/>
    <w:rsid w:val="426E3CA1"/>
    <w:rsid w:val="433E474C"/>
    <w:rsid w:val="451A06ED"/>
    <w:rsid w:val="45A2708B"/>
    <w:rsid w:val="486B0D69"/>
    <w:rsid w:val="4A0D21C2"/>
    <w:rsid w:val="4A480AB5"/>
    <w:rsid w:val="4A7917ED"/>
    <w:rsid w:val="4D440619"/>
    <w:rsid w:val="4DD83FE3"/>
    <w:rsid w:val="4E5B61F4"/>
    <w:rsid w:val="50A75CC5"/>
    <w:rsid w:val="517E5DD2"/>
    <w:rsid w:val="531F41E8"/>
    <w:rsid w:val="543D44FE"/>
    <w:rsid w:val="54E158E5"/>
    <w:rsid w:val="54F246CA"/>
    <w:rsid w:val="56897875"/>
    <w:rsid w:val="59F736E8"/>
    <w:rsid w:val="5A912647"/>
    <w:rsid w:val="5AF146DA"/>
    <w:rsid w:val="5C2A474A"/>
    <w:rsid w:val="5C926764"/>
    <w:rsid w:val="607B463D"/>
    <w:rsid w:val="60BD0047"/>
    <w:rsid w:val="60E42E65"/>
    <w:rsid w:val="60E91A8E"/>
    <w:rsid w:val="616D7AFE"/>
    <w:rsid w:val="63736AAC"/>
    <w:rsid w:val="64B059EB"/>
    <w:rsid w:val="669B19F2"/>
    <w:rsid w:val="66C8504F"/>
    <w:rsid w:val="679C3D75"/>
    <w:rsid w:val="68BB1C13"/>
    <w:rsid w:val="6A6652AB"/>
    <w:rsid w:val="6A9931A2"/>
    <w:rsid w:val="6B641B3D"/>
    <w:rsid w:val="6D791E5F"/>
    <w:rsid w:val="6E553909"/>
    <w:rsid w:val="70034DD5"/>
    <w:rsid w:val="735F3596"/>
    <w:rsid w:val="75660117"/>
    <w:rsid w:val="7A0B4582"/>
    <w:rsid w:val="7AB669D6"/>
    <w:rsid w:val="7B7B5FA6"/>
    <w:rsid w:val="7D72229F"/>
    <w:rsid w:val="7E802B4E"/>
    <w:rsid w:val="7EBF7A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spacing w:after="120"/>
      <w:ind w:left="420" w:leftChars="200" w:firstLine="420" w:firstLineChars="200"/>
    </w:pPr>
  </w:style>
  <w:style w:type="paragraph" w:styleId="3">
    <w:name w:val="Body Text Indent"/>
    <w:basedOn w:val="1"/>
    <w:next w:val="4"/>
    <w:qFormat/>
    <w:uiPriority w:val="0"/>
    <w:pPr>
      <w:ind w:left="359" w:leftChars="171" w:firstLine="179" w:firstLineChars="85"/>
    </w:pPr>
    <w:rPr>
      <w:rFonts w:ascii="宋体" w:hAnsi="宋体"/>
      <w:b/>
    </w:rPr>
  </w:style>
  <w:style w:type="paragraph" w:styleId="4">
    <w:name w:val="envelope return"/>
    <w:basedOn w:val="1"/>
    <w:qFormat/>
    <w:uiPriority w:val="0"/>
    <w:pPr>
      <w:snapToGrid w:val="0"/>
    </w:pPr>
    <w:rPr>
      <w:rFonts w:ascii="Arial" w:hAnsi="Arial"/>
    </w:rPr>
  </w:style>
  <w:style w:type="paragraph" w:styleId="5">
    <w:name w:val="Body Text"/>
    <w:basedOn w:val="1"/>
    <w:next w:val="1"/>
    <w:unhideWhenUsed/>
    <w:qFormat/>
    <w:uiPriority w:val="99"/>
    <w:pPr>
      <w:spacing w:after="120"/>
    </w:pPr>
  </w:style>
  <w:style w:type="paragraph" w:styleId="7">
    <w:name w:val="Normal Indent"/>
    <w:basedOn w:val="1"/>
    <w:qFormat/>
    <w:uiPriority w:val="0"/>
    <w:pPr>
      <w:ind w:firstLine="420"/>
    </w:pPr>
  </w:style>
  <w:style w:type="paragraph" w:styleId="8">
    <w:name w:val="annotation text"/>
    <w:basedOn w:val="1"/>
    <w:qFormat/>
    <w:uiPriority w:val="0"/>
  </w:style>
  <w:style w:type="paragraph" w:styleId="9">
    <w:name w:val="Block Text"/>
    <w:basedOn w:val="1"/>
    <w:unhideWhenUsed/>
    <w:qFormat/>
    <w:uiPriority w:val="99"/>
    <w:pPr>
      <w:spacing w:after="120"/>
      <w:ind w:left="1440" w:leftChars="700" w:right="1440" w:rightChars="700"/>
    </w:pPr>
  </w:style>
  <w:style w:type="paragraph" w:styleId="10">
    <w:name w:val="footer"/>
    <w:basedOn w:val="1"/>
    <w:link w:val="17"/>
    <w:qFormat/>
    <w:uiPriority w:val="0"/>
    <w:pPr>
      <w:tabs>
        <w:tab w:val="center" w:pos="4153"/>
        <w:tab w:val="right" w:pos="8306"/>
      </w:tabs>
      <w:snapToGrid w:val="0"/>
      <w:jc w:val="left"/>
    </w:pPr>
    <w:rPr>
      <w:sz w:val="18"/>
      <w:szCs w:val="18"/>
    </w:rPr>
  </w:style>
  <w:style w:type="paragraph" w:styleId="11">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character" w:styleId="14">
    <w:name w:val="annotation reference"/>
    <w:qFormat/>
    <w:uiPriority w:val="0"/>
    <w:rPr>
      <w:sz w:val="21"/>
      <w:szCs w:val="21"/>
    </w:rPr>
  </w:style>
  <w:style w:type="paragraph" w:styleId="15">
    <w:name w:val="List Paragraph"/>
    <w:basedOn w:val="1"/>
    <w:qFormat/>
    <w:uiPriority w:val="34"/>
    <w:pPr>
      <w:ind w:firstLine="420" w:firstLineChars="200"/>
    </w:pPr>
  </w:style>
  <w:style w:type="character" w:customStyle="1" w:styleId="16">
    <w:name w:val="页眉 Char"/>
    <w:basedOn w:val="13"/>
    <w:link w:val="11"/>
    <w:qFormat/>
    <w:uiPriority w:val="0"/>
    <w:rPr>
      <w:kern w:val="2"/>
      <w:sz w:val="18"/>
      <w:szCs w:val="18"/>
    </w:rPr>
  </w:style>
  <w:style w:type="character" w:customStyle="1" w:styleId="17">
    <w:name w:val="页脚 Char"/>
    <w:basedOn w:val="13"/>
    <w:link w:val="10"/>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Www.SangSan.Cn</Company>
  <Pages>3</Pages>
  <Words>2683</Words>
  <Characters>3147</Characters>
  <Lines>18</Lines>
  <Paragraphs>5</Paragraphs>
  <TotalTime>4</TotalTime>
  <ScaleCrop>false</ScaleCrop>
  <LinksUpToDate>false</LinksUpToDate>
  <CharactersWithSpaces>3204</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2021-04-17T08:30:00Z</dcterms:created>
  <dc:creator>a</dc:creator>
  <cp:lastModifiedBy>张凯</cp:lastModifiedBy>
  <dcterms:modified xsi:type="dcterms:W3CDTF">2023-08-28T00:52:18Z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673063EB39194C11AE07D2AF8948BFF3_13</vt:lpwstr>
  </property>
</Properties>
</file>