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8" w:lineRule="auto"/>
        <w:ind w:left="1606" w:hanging="1506" w:hangingChars="500"/>
        <w:jc w:val="left"/>
        <w:textAlignment w:val="baseline"/>
        <w:rPr>
          <w:rFonts w:hint="eastAsia" w:ascii="Arial" w:hAnsi="Arial" w:cs="Arial"/>
          <w:b/>
          <w:color w:val="auto"/>
          <w:sz w:val="30"/>
          <w:szCs w:val="30"/>
        </w:rPr>
      </w:pPr>
      <w:r>
        <w:rPr>
          <w:rFonts w:hint="eastAsia" w:ascii="Arial" w:hAnsi="Arial" w:cs="Arial"/>
          <w:b/>
          <w:color w:val="auto"/>
          <w:sz w:val="30"/>
          <w:szCs w:val="30"/>
          <w:lang w:val="en-US" w:eastAsia="zh-CN"/>
        </w:rPr>
        <w:t>项目名称：</w:t>
      </w:r>
      <w:r>
        <w:rPr>
          <w:rFonts w:hint="eastAsia" w:ascii="Arial" w:hAnsi="Arial" w:cs="Arial"/>
          <w:b/>
          <w:color w:val="auto"/>
          <w:sz w:val="30"/>
          <w:szCs w:val="30"/>
        </w:rPr>
        <w:t>南溪山医院</w:t>
      </w:r>
      <w:r>
        <w:rPr>
          <w:rFonts w:hint="eastAsia" w:ascii="Arial" w:hAnsi="Arial" w:cs="Arial"/>
          <w:b/>
          <w:color w:val="auto"/>
          <w:sz w:val="30"/>
          <w:szCs w:val="30"/>
          <w:lang w:eastAsia="zh-CN"/>
        </w:rPr>
        <w:t>门急诊综合大楼</w:t>
      </w:r>
      <w:r>
        <w:rPr>
          <w:rFonts w:hint="eastAsia" w:ascii="Arial" w:hAnsi="Arial" w:cs="Arial"/>
          <w:b/>
          <w:color w:val="auto"/>
          <w:sz w:val="30"/>
          <w:szCs w:val="30"/>
        </w:rPr>
        <w:t>建设项目评价技术服务</w:t>
      </w:r>
    </w:p>
    <w:p>
      <w:pPr>
        <w:pStyle w:val="2"/>
        <w:rPr>
          <w:rFonts w:hint="eastAsia" w:eastAsia="宋体"/>
          <w:sz w:val="30"/>
          <w:szCs w:val="30"/>
          <w:lang w:val="en-US" w:eastAsia="zh-CN"/>
        </w:rPr>
      </w:pPr>
      <w:r>
        <w:rPr>
          <w:rFonts w:hint="eastAsia" w:ascii="Arial" w:hAnsi="Arial" w:cs="Arial"/>
          <w:b/>
          <w:color w:val="auto"/>
          <w:sz w:val="30"/>
          <w:szCs w:val="30"/>
          <w:lang w:val="en-US" w:eastAsia="zh-CN"/>
        </w:rPr>
        <w:t>项目编号：NYZBB-SBK-2023076</w:t>
      </w:r>
    </w:p>
    <w:p>
      <w:pPr>
        <w:widowControl/>
        <w:spacing w:line="288" w:lineRule="auto"/>
        <w:jc w:val="center"/>
        <w:textAlignment w:val="baseline"/>
        <w:rPr>
          <w:rFonts w:hint="default"/>
          <w:lang w:val="en-US" w:eastAsia="zh-CN"/>
        </w:rPr>
      </w:pPr>
      <w:r>
        <w:rPr>
          <w:rFonts w:hint="eastAsia" w:ascii="Arial" w:hAnsi="Arial" w:cs="Arial"/>
          <w:b/>
          <w:color w:val="auto"/>
          <w:sz w:val="30"/>
          <w:szCs w:val="30"/>
          <w:lang w:eastAsia="zh-CN"/>
        </w:rPr>
        <w:t>采购需求</w:t>
      </w:r>
    </w:p>
    <w:p>
      <w:pPr>
        <w:widowControl/>
        <w:spacing w:line="288" w:lineRule="auto"/>
        <w:textAlignment w:val="baseline"/>
        <w:rPr>
          <w:rStyle w:val="5"/>
          <w:rFonts w:ascii="Arial" w:hAnsi="Arial" w:cs="Arial"/>
          <w:b/>
          <w:color w:val="auto"/>
          <w:sz w:val="24"/>
        </w:rPr>
      </w:pPr>
      <w:r>
        <w:rPr>
          <w:rStyle w:val="5"/>
          <w:rFonts w:ascii="Arial" w:hAnsi="Arial" w:cs="Arial"/>
          <w:b/>
          <w:color w:val="auto"/>
          <w:sz w:val="24"/>
        </w:rPr>
        <w:t>一、采购项目内容及要求：</w:t>
      </w:r>
    </w:p>
    <w:p>
      <w:pPr>
        <w:widowControl/>
        <w:spacing w:line="288" w:lineRule="auto"/>
        <w:ind w:firstLine="420" w:firstLineChars="200"/>
        <w:textAlignment w:val="baseline"/>
        <w:rPr>
          <w:rStyle w:val="5"/>
          <w:rFonts w:ascii="Arial" w:hAnsi="Arial" w:cs="Arial"/>
          <w:color w:val="auto"/>
          <w:szCs w:val="21"/>
        </w:rPr>
      </w:pPr>
      <w:r>
        <w:rPr>
          <w:rStyle w:val="5"/>
          <w:rFonts w:ascii="Arial" w:hAnsi="Arial" w:cs="Arial"/>
          <w:color w:val="auto"/>
          <w:szCs w:val="21"/>
        </w:rPr>
        <w:t>1、采购内容：</w:t>
      </w:r>
      <w:r>
        <w:rPr>
          <w:rStyle w:val="5"/>
          <w:rFonts w:hint="eastAsia" w:ascii="Arial" w:hAnsi="Arial" w:cs="Arial"/>
          <w:color w:val="auto"/>
          <w:szCs w:val="21"/>
        </w:rPr>
        <w:t>广西壮族自治区南溪山医院</w:t>
      </w:r>
      <w:r>
        <w:rPr>
          <w:rStyle w:val="5"/>
          <w:rFonts w:hint="eastAsia" w:ascii="Arial" w:hAnsi="Arial" w:cs="Arial"/>
          <w:color w:val="auto"/>
          <w:szCs w:val="21"/>
          <w:highlight w:val="none"/>
        </w:rPr>
        <w:t>门急诊综合大楼</w:t>
      </w:r>
      <w:r>
        <w:rPr>
          <w:rStyle w:val="5"/>
          <w:rFonts w:hint="eastAsia" w:ascii="Arial" w:hAnsi="Arial" w:cs="Arial"/>
          <w:color w:val="auto"/>
          <w:szCs w:val="21"/>
        </w:rPr>
        <w:t>建设项目职业病危害预评价技术服务和新建项目环境影响评价技术服务</w:t>
      </w:r>
    </w:p>
    <w:p>
      <w:pPr>
        <w:widowControl/>
        <w:spacing w:line="288" w:lineRule="auto"/>
        <w:ind w:firstLine="420" w:firstLineChars="200"/>
        <w:textAlignment w:val="baseline"/>
        <w:rPr>
          <w:rStyle w:val="5"/>
          <w:rFonts w:ascii="Arial" w:hAnsi="Arial" w:cs="Arial"/>
          <w:color w:val="auto"/>
          <w:szCs w:val="21"/>
        </w:rPr>
      </w:pPr>
      <w:r>
        <w:rPr>
          <w:rStyle w:val="5"/>
          <w:rFonts w:hint="eastAsia" w:ascii="Arial" w:hAnsi="Arial" w:cs="Arial"/>
          <w:color w:val="auto"/>
          <w:szCs w:val="21"/>
          <w:lang w:val="en-US"/>
        </w:rPr>
        <w:t>2</w:t>
      </w:r>
      <w:r>
        <w:rPr>
          <w:rStyle w:val="5"/>
          <w:rFonts w:ascii="Arial" w:hAnsi="Arial" w:cs="Arial"/>
          <w:color w:val="auto"/>
          <w:szCs w:val="21"/>
        </w:rPr>
        <w:t>、地点：</w:t>
      </w:r>
      <w:r>
        <w:rPr>
          <w:rStyle w:val="5"/>
          <w:rFonts w:hint="eastAsia" w:ascii="Arial" w:hAnsi="Arial" w:cs="Arial"/>
          <w:color w:val="auto"/>
          <w:szCs w:val="21"/>
        </w:rPr>
        <w:t>桂林市</w:t>
      </w:r>
    </w:p>
    <w:p>
      <w:pPr>
        <w:widowControl/>
        <w:spacing w:line="288" w:lineRule="auto"/>
        <w:ind w:firstLine="420" w:firstLineChars="200"/>
        <w:textAlignment w:val="baseline"/>
        <w:rPr>
          <w:rStyle w:val="5"/>
          <w:rFonts w:ascii="Arial" w:hAnsi="Arial" w:cs="Arial"/>
          <w:color w:val="auto"/>
          <w:szCs w:val="21"/>
        </w:rPr>
      </w:pPr>
      <w:r>
        <w:rPr>
          <w:rStyle w:val="5"/>
          <w:rFonts w:hint="eastAsia" w:ascii="Arial" w:hAnsi="Arial" w:cs="Arial"/>
          <w:color w:val="auto"/>
          <w:szCs w:val="21"/>
          <w:lang w:val="en-US"/>
        </w:rPr>
        <w:t>3</w:t>
      </w:r>
      <w:r>
        <w:rPr>
          <w:rStyle w:val="5"/>
          <w:rFonts w:ascii="Arial" w:hAnsi="Arial" w:cs="Arial"/>
          <w:color w:val="auto"/>
          <w:szCs w:val="21"/>
        </w:rPr>
        <w:t>、工期要求（服务期）：</w:t>
      </w:r>
    </w:p>
    <w:p>
      <w:pPr>
        <w:widowControl/>
        <w:spacing w:line="288" w:lineRule="auto"/>
        <w:ind w:firstLine="420" w:firstLineChars="200"/>
        <w:textAlignment w:val="baseline"/>
        <w:rPr>
          <w:rStyle w:val="5"/>
          <w:rFonts w:ascii="Arial" w:hAnsi="Arial" w:cs="Arial"/>
          <w:color w:val="auto"/>
          <w:szCs w:val="21"/>
        </w:rPr>
      </w:pPr>
      <w:r>
        <w:rPr>
          <w:rStyle w:val="5"/>
          <w:rFonts w:ascii="Arial" w:hAnsi="Arial" w:cs="Arial"/>
          <w:color w:val="auto"/>
          <w:szCs w:val="21"/>
        </w:rPr>
        <w:t>①、签订合同后采购方提供材料齐全之日起</w:t>
      </w:r>
      <w:r>
        <w:rPr>
          <w:rStyle w:val="5"/>
          <w:rFonts w:hint="eastAsia" w:ascii="Arial" w:hAnsi="Arial" w:cs="Arial"/>
          <w:color w:val="auto"/>
          <w:szCs w:val="21"/>
        </w:rPr>
        <w:t>成交供应商</w:t>
      </w:r>
      <w:r>
        <w:rPr>
          <w:rStyle w:val="5"/>
          <w:rFonts w:ascii="Arial" w:hAnsi="Arial" w:cs="Arial"/>
          <w:color w:val="auto"/>
          <w:szCs w:val="21"/>
        </w:rPr>
        <w:t>三十天内完成预评报告编制并通过专家评审。</w:t>
      </w:r>
    </w:p>
    <w:p>
      <w:pPr>
        <w:widowControl/>
        <w:spacing w:line="288" w:lineRule="auto"/>
        <w:ind w:firstLine="420" w:firstLineChars="200"/>
        <w:textAlignment w:val="baseline"/>
        <w:rPr>
          <w:rFonts w:hint="eastAsia" w:ascii="Arial" w:hAnsi="Arial" w:cs="Arial"/>
          <w:color w:val="auto"/>
          <w:szCs w:val="21"/>
        </w:rPr>
      </w:pPr>
      <w:r>
        <w:rPr>
          <w:rStyle w:val="5"/>
          <w:rFonts w:ascii="Arial" w:hAnsi="Arial" w:cs="Arial"/>
          <w:color w:val="auto"/>
          <w:szCs w:val="21"/>
        </w:rPr>
        <w:t>②</w:t>
      </w:r>
      <w:r>
        <w:rPr>
          <w:rFonts w:ascii="Arial" w:hAnsi="Arial" w:cs="Arial"/>
          <w:color w:val="auto"/>
          <w:szCs w:val="21"/>
        </w:rPr>
        <w:t>、</w:t>
      </w:r>
      <w:r>
        <w:rPr>
          <w:rFonts w:hint="eastAsia" w:ascii="Arial" w:hAnsi="Arial" w:cs="Arial"/>
          <w:color w:val="auto"/>
          <w:szCs w:val="21"/>
        </w:rPr>
        <w:t>签订合同后采购方提供材料齐全之日起成交供应商三十天内完成环评报告编制并通过专家评审。</w:t>
      </w:r>
    </w:p>
    <w:p>
      <w:pPr>
        <w:widowControl/>
        <w:spacing w:line="288" w:lineRule="auto"/>
        <w:ind w:firstLine="420" w:firstLineChars="200"/>
        <w:jc w:val="left"/>
        <w:textAlignment w:val="baseline"/>
        <w:rPr>
          <w:rStyle w:val="5"/>
          <w:rFonts w:hint="eastAsia" w:ascii="Arial" w:hAnsi="Arial" w:cs="Arial"/>
          <w:color w:val="auto"/>
          <w:szCs w:val="21"/>
        </w:rPr>
      </w:pPr>
      <w:r>
        <w:rPr>
          <w:rStyle w:val="5"/>
          <w:rFonts w:hint="eastAsia" w:ascii="Arial" w:hAnsi="Arial" w:cs="Arial"/>
          <w:color w:val="auto"/>
          <w:szCs w:val="21"/>
          <w:lang w:val="en-US"/>
        </w:rPr>
        <w:t>4</w:t>
      </w:r>
      <w:r>
        <w:rPr>
          <w:rStyle w:val="5"/>
          <w:rFonts w:hint="eastAsia" w:ascii="Arial" w:hAnsi="Arial" w:cs="Arial"/>
          <w:color w:val="auto"/>
          <w:szCs w:val="21"/>
        </w:rPr>
        <w:t>、商务要求：</w:t>
      </w:r>
    </w:p>
    <w:p>
      <w:pPr>
        <w:widowControl/>
        <w:spacing w:line="288" w:lineRule="auto"/>
        <w:ind w:firstLine="420" w:firstLineChars="200"/>
        <w:jc w:val="left"/>
        <w:textAlignment w:val="baseline"/>
        <w:rPr>
          <w:rStyle w:val="5"/>
          <w:rFonts w:hint="eastAsia" w:ascii="Arial" w:hAnsi="Arial" w:cs="Arial"/>
          <w:color w:val="auto"/>
          <w:szCs w:val="21"/>
        </w:rPr>
      </w:pPr>
      <w:r>
        <w:rPr>
          <w:rStyle w:val="5"/>
          <w:rFonts w:hint="eastAsia" w:ascii="Arial" w:hAnsi="Arial" w:cs="Arial"/>
          <w:color w:val="auto"/>
          <w:szCs w:val="21"/>
        </w:rPr>
        <w:t>成交供应商应为采购人办理好下列手续：</w:t>
      </w:r>
    </w:p>
    <w:p>
      <w:pPr>
        <w:widowControl/>
        <w:spacing w:line="288" w:lineRule="auto"/>
        <w:ind w:firstLine="420" w:firstLineChars="200"/>
        <w:jc w:val="left"/>
        <w:textAlignment w:val="baseline"/>
        <w:rPr>
          <w:rStyle w:val="5"/>
          <w:rFonts w:hint="eastAsia" w:ascii="Arial" w:hAnsi="Arial" w:cs="Arial"/>
          <w:color w:val="auto"/>
          <w:szCs w:val="21"/>
        </w:rPr>
      </w:pPr>
      <w:r>
        <w:rPr>
          <w:rStyle w:val="5"/>
          <w:rFonts w:hint="eastAsia" w:ascii="Arial" w:hAnsi="Arial" w:cs="Arial"/>
          <w:color w:val="auto"/>
          <w:szCs w:val="21"/>
        </w:rPr>
        <w:t>（1）、办理《放射诊疗许可证》；</w:t>
      </w:r>
    </w:p>
    <w:p>
      <w:pPr>
        <w:widowControl/>
        <w:spacing w:line="288" w:lineRule="auto"/>
        <w:ind w:firstLine="420" w:firstLineChars="200"/>
        <w:jc w:val="left"/>
        <w:textAlignment w:val="baseline"/>
        <w:rPr>
          <w:rStyle w:val="5"/>
          <w:rFonts w:ascii="Arial" w:hAnsi="Arial" w:cs="Arial"/>
          <w:color w:val="auto"/>
          <w:szCs w:val="21"/>
        </w:rPr>
      </w:pPr>
      <w:r>
        <w:rPr>
          <w:rStyle w:val="5"/>
          <w:rFonts w:hint="eastAsia" w:ascii="Arial" w:hAnsi="Arial" w:cs="Arial"/>
          <w:color w:val="auto"/>
          <w:szCs w:val="21"/>
        </w:rPr>
        <w:t>（2）、办理《辐射安全许可证》（含 1：III类射线装置的建设项目环境影响登记备案；2：全国核技术利用辐射安全申报系统相关信息录入； 3：II类射线装置/源项在广西壮族自治区投资项目在线审批监管平台录入备案，所有办证纸质材料按要求递交至办证窗口）</w:t>
      </w:r>
    </w:p>
    <w:p>
      <w:pPr>
        <w:widowControl/>
        <w:spacing w:line="288" w:lineRule="auto"/>
        <w:ind w:firstLine="420" w:firstLineChars="200"/>
        <w:jc w:val="left"/>
        <w:textAlignment w:val="baseline"/>
        <w:rPr>
          <w:rFonts w:ascii="Arial" w:hAnsi="Arial" w:cs="Arial"/>
          <w:color w:val="auto"/>
          <w:kern w:val="0"/>
          <w:szCs w:val="21"/>
          <w:lang w:bidi="ar"/>
        </w:rPr>
      </w:pPr>
      <w:r>
        <w:rPr>
          <w:rStyle w:val="5"/>
          <w:rFonts w:hint="eastAsia" w:ascii="Arial" w:hAnsi="Arial" w:cs="Arial"/>
          <w:color w:val="auto"/>
          <w:szCs w:val="21"/>
          <w:lang w:val="en-US"/>
        </w:rPr>
        <w:t>5</w:t>
      </w:r>
      <w:r>
        <w:rPr>
          <w:rStyle w:val="5"/>
          <w:rFonts w:ascii="Arial" w:hAnsi="Arial" w:cs="Arial"/>
          <w:color w:val="auto"/>
          <w:szCs w:val="21"/>
        </w:rPr>
        <w:t>、</w:t>
      </w:r>
      <w:r>
        <w:rPr>
          <w:rFonts w:ascii="Arial" w:hAnsi="Arial" w:cs="Arial"/>
          <w:color w:val="auto"/>
          <w:kern w:val="0"/>
          <w:szCs w:val="21"/>
          <w:lang w:bidi="ar"/>
        </w:rPr>
        <w:t>逾期违约责任：</w:t>
      </w:r>
    </w:p>
    <w:p>
      <w:pPr>
        <w:widowControl/>
        <w:spacing w:line="288" w:lineRule="auto"/>
        <w:ind w:firstLine="420" w:firstLineChars="200"/>
        <w:jc w:val="left"/>
        <w:textAlignment w:val="baseline"/>
        <w:rPr>
          <w:rFonts w:ascii="Arial" w:hAnsi="Arial" w:cs="Arial"/>
          <w:color w:val="auto"/>
          <w:kern w:val="0"/>
          <w:szCs w:val="21"/>
          <w:lang w:bidi="ar"/>
        </w:rPr>
      </w:pPr>
      <w:r>
        <w:rPr>
          <w:rStyle w:val="5"/>
          <w:rFonts w:ascii="Arial" w:hAnsi="Arial" w:cs="Arial"/>
          <w:color w:val="auto"/>
          <w:szCs w:val="21"/>
        </w:rPr>
        <w:t>①</w:t>
      </w:r>
      <w:r>
        <w:rPr>
          <w:rFonts w:ascii="Arial" w:hAnsi="Arial" w:cs="Arial"/>
          <w:color w:val="auto"/>
          <w:kern w:val="0"/>
          <w:szCs w:val="21"/>
          <w:lang w:bidi="ar"/>
        </w:rPr>
        <w:t>、成交人未能在约定工期阶段内完成项目要求的服务内容，采购人有权单方面解除合同并要求成交方赔偿因此带来的一切损失。</w:t>
      </w:r>
    </w:p>
    <w:p>
      <w:pPr>
        <w:widowControl/>
        <w:spacing w:line="288" w:lineRule="auto"/>
        <w:ind w:firstLine="420" w:firstLineChars="200"/>
        <w:jc w:val="left"/>
        <w:textAlignment w:val="baseline"/>
        <w:rPr>
          <w:rFonts w:ascii="Arial" w:hAnsi="Arial" w:cs="Arial"/>
          <w:color w:val="auto"/>
          <w:kern w:val="0"/>
          <w:szCs w:val="21"/>
          <w:lang w:bidi="ar"/>
        </w:rPr>
      </w:pPr>
      <w:r>
        <w:rPr>
          <w:rStyle w:val="5"/>
          <w:rFonts w:ascii="Arial" w:hAnsi="Arial" w:cs="Arial"/>
          <w:color w:val="auto"/>
          <w:szCs w:val="21"/>
        </w:rPr>
        <w:t>②、</w:t>
      </w:r>
      <w:r>
        <w:rPr>
          <w:rFonts w:ascii="Arial" w:hAnsi="Arial" w:cs="Arial"/>
          <w:color w:val="auto"/>
          <w:kern w:val="0"/>
          <w:szCs w:val="21"/>
          <w:lang w:bidi="ar"/>
        </w:rPr>
        <w:t>因成交人给采购人提供整防护方案导致无法通过相关行政主管部门竣工验收，成交人须赔偿给采购人带来的一切经济损失。</w:t>
      </w:r>
    </w:p>
    <w:p>
      <w:pPr>
        <w:widowControl/>
        <w:spacing w:line="288" w:lineRule="auto"/>
        <w:ind w:firstLine="420" w:firstLineChars="200"/>
        <w:jc w:val="left"/>
        <w:textAlignment w:val="baseline"/>
        <w:rPr>
          <w:rFonts w:ascii="Arial" w:hAnsi="Arial" w:cs="Arial"/>
          <w:color w:val="auto"/>
          <w:kern w:val="0"/>
          <w:szCs w:val="21"/>
          <w:lang w:bidi="ar"/>
        </w:rPr>
      </w:pPr>
      <w:r>
        <w:rPr>
          <w:rFonts w:ascii="Arial" w:hAnsi="Arial" w:cs="Arial"/>
          <w:color w:val="auto"/>
          <w:kern w:val="0"/>
          <w:szCs w:val="21"/>
          <w:lang w:bidi="ar"/>
        </w:rPr>
        <w:t>③、因采购人原因导致延期，成交人免责并且工期顺延。</w:t>
      </w:r>
    </w:p>
    <w:p>
      <w:pPr>
        <w:widowControl/>
        <w:spacing w:line="288" w:lineRule="auto"/>
        <w:ind w:firstLine="420" w:firstLineChars="200"/>
        <w:jc w:val="left"/>
        <w:textAlignment w:val="baseline"/>
        <w:rPr>
          <w:rStyle w:val="5"/>
          <w:rFonts w:ascii="Arial" w:hAnsi="Arial" w:cs="Arial"/>
          <w:color w:val="auto"/>
          <w:szCs w:val="21"/>
        </w:rPr>
      </w:pPr>
      <w:r>
        <w:rPr>
          <w:rStyle w:val="5"/>
          <w:rFonts w:hint="eastAsia" w:ascii="Arial" w:hAnsi="Arial" w:cs="Arial"/>
          <w:color w:val="auto"/>
          <w:szCs w:val="21"/>
          <w:lang w:val="en-US"/>
        </w:rPr>
        <w:t>6</w:t>
      </w:r>
      <w:r>
        <w:rPr>
          <w:rStyle w:val="5"/>
          <w:rFonts w:ascii="Arial" w:hAnsi="Arial" w:cs="Arial"/>
          <w:color w:val="auto"/>
          <w:szCs w:val="21"/>
        </w:rPr>
        <w:t>、付款方式：</w:t>
      </w:r>
      <w:r>
        <w:rPr>
          <w:rStyle w:val="5"/>
          <w:rFonts w:hint="eastAsia" w:ascii="Arial" w:hAnsi="Arial" w:cs="Arial"/>
          <w:color w:val="auto"/>
          <w:szCs w:val="21"/>
        </w:rPr>
        <w:t>签订合同后，设备检测纸质版报告出具后30天内支付合同金额的95%，完成各种网站资料更新或者备案后一年内支付合同金额的5%（无息）。</w:t>
      </w:r>
    </w:p>
    <w:p>
      <w:pPr>
        <w:spacing w:line="288" w:lineRule="auto"/>
        <w:textAlignment w:val="baseline"/>
        <w:rPr>
          <w:rStyle w:val="5"/>
          <w:rFonts w:ascii="Arial" w:hAnsi="Arial" w:cs="Arial"/>
          <w:b/>
          <w:bCs/>
          <w:color w:val="auto"/>
          <w:sz w:val="24"/>
        </w:rPr>
      </w:pPr>
      <w:r>
        <w:rPr>
          <w:rStyle w:val="5"/>
          <w:rFonts w:ascii="Arial" w:hAnsi="Arial" w:cs="Arial"/>
          <w:b/>
          <w:bCs/>
          <w:color w:val="auto"/>
          <w:sz w:val="24"/>
        </w:rPr>
        <w:t>二、依据法规文件</w:t>
      </w:r>
    </w:p>
    <w:p>
      <w:pPr>
        <w:spacing w:line="288" w:lineRule="auto"/>
        <w:ind w:firstLine="420" w:firstLineChars="200"/>
        <w:rPr>
          <w:rFonts w:hint="eastAsia" w:ascii="Arial" w:hAnsi="Arial" w:cs="Arial"/>
          <w:color w:val="auto"/>
        </w:rPr>
      </w:pPr>
      <w:r>
        <w:rPr>
          <w:rFonts w:hint="eastAsia" w:ascii="Arial" w:hAnsi="Arial" w:cs="Arial"/>
          <w:color w:val="auto"/>
        </w:rPr>
        <w:t>1.《中华人民共和国职业病防治法》主席令第24号（2018年12月第四次修订）；</w:t>
      </w:r>
    </w:p>
    <w:p>
      <w:pPr>
        <w:spacing w:line="288" w:lineRule="auto"/>
        <w:ind w:firstLine="420" w:firstLineChars="200"/>
        <w:rPr>
          <w:rFonts w:hint="eastAsia" w:ascii="Arial" w:hAnsi="Arial" w:cs="Arial"/>
          <w:color w:val="auto"/>
        </w:rPr>
      </w:pPr>
      <w:r>
        <w:rPr>
          <w:rFonts w:hint="eastAsia" w:ascii="Arial" w:hAnsi="Arial" w:cs="Arial"/>
          <w:color w:val="auto"/>
        </w:rPr>
        <w:t xml:space="preserve">2.《中华人民共和国放射性污染防治法》，主席令第6号（2003年10月1日起施行）； </w:t>
      </w:r>
    </w:p>
    <w:p>
      <w:pPr>
        <w:spacing w:line="288" w:lineRule="auto"/>
        <w:ind w:firstLine="420" w:firstLineChars="200"/>
        <w:rPr>
          <w:rFonts w:hint="eastAsia" w:ascii="Arial" w:hAnsi="Arial" w:cs="Arial"/>
          <w:color w:val="auto"/>
        </w:rPr>
      </w:pPr>
      <w:r>
        <w:rPr>
          <w:rFonts w:hint="eastAsia" w:ascii="Arial" w:hAnsi="Arial" w:cs="Arial"/>
          <w:color w:val="auto"/>
        </w:rPr>
        <w:t>3.《放射性同位素与射线装置安全和防护条例》国务院令第709号（2019年3月修订）</w:t>
      </w:r>
    </w:p>
    <w:p>
      <w:pPr>
        <w:spacing w:line="288" w:lineRule="auto"/>
        <w:ind w:firstLine="420" w:firstLineChars="200"/>
        <w:rPr>
          <w:rFonts w:hint="eastAsia" w:ascii="Arial" w:hAnsi="Arial" w:cs="Arial"/>
          <w:color w:val="auto"/>
        </w:rPr>
      </w:pPr>
      <w:r>
        <w:rPr>
          <w:rFonts w:hint="eastAsia" w:ascii="Arial" w:hAnsi="Arial" w:cs="Arial"/>
          <w:color w:val="auto"/>
        </w:rPr>
        <w:t>4.《放射诊疗管理规定》卫生部令第46号（2016年1月修订）</w:t>
      </w:r>
    </w:p>
    <w:p>
      <w:pPr>
        <w:spacing w:line="288" w:lineRule="auto"/>
        <w:ind w:firstLine="420" w:firstLineChars="200"/>
        <w:rPr>
          <w:rFonts w:hint="eastAsia" w:ascii="Arial" w:hAnsi="Arial" w:cs="Arial"/>
          <w:color w:val="auto"/>
        </w:rPr>
      </w:pPr>
      <w:r>
        <w:rPr>
          <w:rFonts w:hint="eastAsia" w:ascii="Arial" w:hAnsi="Arial" w:cs="Arial"/>
          <w:color w:val="auto"/>
        </w:rPr>
        <w:t>5.《放射工作人员职业健康管理办法》卫生部令第55号（2007年11月实施）</w:t>
      </w:r>
    </w:p>
    <w:p>
      <w:pPr>
        <w:spacing w:line="288" w:lineRule="auto"/>
        <w:ind w:firstLine="420" w:firstLineChars="200"/>
        <w:rPr>
          <w:rFonts w:hint="eastAsia" w:ascii="Arial" w:hAnsi="Arial" w:cs="Arial"/>
          <w:color w:val="auto"/>
        </w:rPr>
      </w:pPr>
      <w:r>
        <w:rPr>
          <w:rFonts w:hint="eastAsia" w:ascii="Arial" w:hAnsi="Arial" w:cs="Arial"/>
          <w:color w:val="auto"/>
        </w:rPr>
        <w:t>6.《卫生部关于印发&lt;卫生部核事故和辐射事故卫生应急预案&gt;的通知》，中卫生部卫应急发〔2009〕101号（2009年10月15日起施行）；</w:t>
      </w:r>
    </w:p>
    <w:p>
      <w:pPr>
        <w:spacing w:line="288" w:lineRule="auto"/>
        <w:ind w:firstLine="420" w:firstLineChars="200"/>
        <w:rPr>
          <w:rFonts w:hint="eastAsia" w:ascii="Arial" w:hAnsi="Arial" w:cs="Arial"/>
          <w:color w:val="auto"/>
        </w:rPr>
      </w:pPr>
      <w:r>
        <w:rPr>
          <w:rFonts w:hint="eastAsia" w:ascii="Arial" w:hAnsi="Arial" w:cs="Arial"/>
          <w:color w:val="auto"/>
        </w:rPr>
        <w:t>7.《放射诊疗建设项目卫生审查管理规定》卫监督发〔2012〕25号</w:t>
      </w:r>
    </w:p>
    <w:p>
      <w:pPr>
        <w:spacing w:line="288" w:lineRule="auto"/>
        <w:ind w:firstLine="420" w:firstLineChars="200"/>
        <w:rPr>
          <w:rFonts w:hint="eastAsia" w:ascii="Arial" w:hAnsi="Arial" w:cs="Arial"/>
          <w:color w:val="auto"/>
        </w:rPr>
      </w:pPr>
      <w:r>
        <w:rPr>
          <w:rFonts w:hint="eastAsia" w:ascii="Arial" w:hAnsi="Arial" w:cs="Arial"/>
          <w:color w:val="auto"/>
        </w:rPr>
        <w:t>8.《职业病危害因素分类目录》，国卫疾控发2015第92号（2015年11月17日起施行）。</w:t>
      </w:r>
    </w:p>
    <w:p>
      <w:pPr>
        <w:spacing w:line="288" w:lineRule="auto"/>
        <w:ind w:firstLine="420" w:firstLineChars="200"/>
        <w:rPr>
          <w:rFonts w:hint="eastAsia" w:ascii="Arial" w:hAnsi="Arial" w:cs="Arial"/>
          <w:color w:val="auto"/>
        </w:rPr>
      </w:pPr>
      <w:r>
        <w:rPr>
          <w:rFonts w:hint="eastAsia" w:ascii="Arial" w:hAnsi="Arial" w:cs="Arial"/>
          <w:color w:val="auto"/>
        </w:rPr>
        <w:t>9.《中华人民共和国环境保护法》，（中华人民共和国主席令第9号，2015年），2015年1月1日起实施；</w:t>
      </w:r>
    </w:p>
    <w:p>
      <w:pPr>
        <w:spacing w:line="288" w:lineRule="auto"/>
        <w:ind w:firstLine="420" w:firstLineChars="200"/>
        <w:rPr>
          <w:rFonts w:hint="eastAsia" w:ascii="Arial" w:hAnsi="Arial" w:cs="Arial"/>
          <w:color w:val="auto"/>
        </w:rPr>
      </w:pPr>
      <w:r>
        <w:rPr>
          <w:rFonts w:hint="eastAsia" w:ascii="Arial" w:hAnsi="Arial" w:cs="Arial"/>
          <w:color w:val="auto"/>
        </w:rPr>
        <w:t>10.《中华人民共和国环境影响评价法》，（2018年修订版），2018年12月29日起实施；</w:t>
      </w:r>
    </w:p>
    <w:p>
      <w:pPr>
        <w:spacing w:line="288" w:lineRule="auto"/>
        <w:ind w:firstLine="420" w:firstLineChars="200"/>
        <w:rPr>
          <w:rFonts w:hint="eastAsia" w:ascii="Arial" w:hAnsi="Arial" w:cs="Arial"/>
          <w:color w:val="auto"/>
        </w:rPr>
      </w:pPr>
      <w:r>
        <w:rPr>
          <w:rFonts w:hint="eastAsia" w:ascii="Arial" w:hAnsi="Arial" w:cs="Arial"/>
          <w:color w:val="auto"/>
        </w:rPr>
        <w:t>11.《中华人民共和国放射性污染防治法》，（中华人民共和国主席令 第6号），2003年10月1日起实施；</w:t>
      </w:r>
    </w:p>
    <w:p>
      <w:pPr>
        <w:spacing w:line="288" w:lineRule="auto"/>
        <w:ind w:firstLine="420" w:firstLineChars="200"/>
        <w:rPr>
          <w:rFonts w:hint="eastAsia" w:ascii="Arial" w:hAnsi="Arial" w:cs="Arial"/>
          <w:color w:val="auto"/>
        </w:rPr>
      </w:pPr>
      <w:r>
        <w:rPr>
          <w:rFonts w:hint="eastAsia" w:ascii="Arial" w:hAnsi="Arial" w:cs="Arial"/>
          <w:color w:val="auto"/>
        </w:rPr>
        <w:t>12.《中华人民共和国职业病防治法》（2018年版），2018年12月29日起实施；</w:t>
      </w:r>
    </w:p>
    <w:p>
      <w:pPr>
        <w:spacing w:line="288" w:lineRule="auto"/>
        <w:ind w:firstLine="420" w:firstLineChars="200"/>
        <w:rPr>
          <w:rFonts w:hint="eastAsia" w:ascii="Arial" w:hAnsi="Arial" w:cs="Arial"/>
          <w:color w:val="auto"/>
        </w:rPr>
      </w:pPr>
      <w:r>
        <w:rPr>
          <w:rFonts w:hint="eastAsia" w:ascii="Arial" w:hAnsi="Arial" w:cs="Arial"/>
          <w:color w:val="auto"/>
        </w:rPr>
        <w:t>13.《建设项目环境保护管理条例》，国务院令第682号，2017年10月起实施；</w:t>
      </w:r>
    </w:p>
    <w:p>
      <w:pPr>
        <w:spacing w:line="288" w:lineRule="auto"/>
        <w:ind w:firstLine="420" w:firstLineChars="200"/>
        <w:rPr>
          <w:rFonts w:hint="eastAsia" w:ascii="Arial" w:hAnsi="Arial" w:cs="Arial"/>
          <w:color w:val="auto"/>
        </w:rPr>
      </w:pPr>
      <w:r>
        <w:rPr>
          <w:rFonts w:hint="eastAsia" w:ascii="Arial" w:hAnsi="Arial" w:cs="Arial"/>
          <w:color w:val="auto"/>
        </w:rPr>
        <w:t>14.《建设项目环境影响评价分类管理名录》（2021年版，2021年1月1日起施行）；</w:t>
      </w:r>
    </w:p>
    <w:p>
      <w:pPr>
        <w:spacing w:line="288" w:lineRule="auto"/>
        <w:ind w:firstLine="420" w:firstLineChars="200"/>
        <w:rPr>
          <w:rFonts w:hint="eastAsia" w:ascii="Arial" w:hAnsi="Arial" w:cs="Arial"/>
          <w:color w:val="auto"/>
        </w:rPr>
      </w:pPr>
      <w:r>
        <w:rPr>
          <w:rFonts w:hint="eastAsia" w:ascii="Arial" w:hAnsi="Arial" w:cs="Arial"/>
          <w:color w:val="auto"/>
        </w:rPr>
        <w:t>15.《放射性同位素与射线装置安全和防护条例》，（2019年3月2日 修订版）；</w:t>
      </w:r>
    </w:p>
    <w:p>
      <w:pPr>
        <w:spacing w:line="288" w:lineRule="auto"/>
        <w:ind w:firstLine="420" w:firstLineChars="200"/>
        <w:rPr>
          <w:rFonts w:hint="eastAsia" w:ascii="Arial" w:hAnsi="Arial" w:cs="Arial"/>
          <w:color w:val="auto"/>
        </w:rPr>
      </w:pPr>
      <w:r>
        <w:rPr>
          <w:rFonts w:hint="eastAsia" w:ascii="Arial" w:hAnsi="Arial" w:cs="Arial"/>
          <w:color w:val="auto"/>
        </w:rPr>
        <w:t xml:space="preserve">16.《放射性同位素与射线装置安全许可管理办法》（2021年修改版）（生态环境部令第20号，2021年1月4日起施行）； </w:t>
      </w:r>
    </w:p>
    <w:p>
      <w:pPr>
        <w:spacing w:line="288" w:lineRule="auto"/>
        <w:ind w:firstLine="420" w:firstLineChars="200"/>
        <w:rPr>
          <w:rFonts w:hint="eastAsia" w:ascii="Arial" w:hAnsi="Arial" w:cs="Arial"/>
          <w:color w:val="auto"/>
        </w:rPr>
      </w:pPr>
      <w:r>
        <w:rPr>
          <w:rFonts w:hint="eastAsia" w:ascii="Arial" w:hAnsi="Arial" w:cs="Arial"/>
          <w:color w:val="auto"/>
        </w:rPr>
        <w:t>17.《放射性同位素与射线装置安全和防护管理办法》（环境保护部令第18号），2011年5月1日起实施；</w:t>
      </w:r>
    </w:p>
    <w:p>
      <w:pPr>
        <w:spacing w:line="288" w:lineRule="auto"/>
        <w:ind w:firstLine="420" w:firstLineChars="200"/>
        <w:rPr>
          <w:rFonts w:hint="eastAsia" w:ascii="Arial" w:hAnsi="Arial" w:cs="Arial"/>
          <w:color w:val="auto"/>
        </w:rPr>
      </w:pPr>
      <w:r>
        <w:rPr>
          <w:rFonts w:hint="eastAsia" w:ascii="Arial" w:hAnsi="Arial" w:cs="Arial"/>
          <w:color w:val="auto"/>
        </w:rPr>
        <w:t>18.《关于发布放射源分类办法的公告》（国家环境保护总局公告 2005年 第62号）；</w:t>
      </w:r>
    </w:p>
    <w:p>
      <w:pPr>
        <w:spacing w:line="288" w:lineRule="auto"/>
        <w:ind w:firstLine="420" w:firstLineChars="200"/>
        <w:rPr>
          <w:rFonts w:hint="eastAsia" w:ascii="Arial" w:hAnsi="Arial" w:cs="Arial"/>
          <w:color w:val="auto"/>
        </w:rPr>
      </w:pPr>
      <w:r>
        <w:rPr>
          <w:rFonts w:hint="eastAsia" w:ascii="Arial" w:hAnsi="Arial" w:cs="Arial"/>
          <w:color w:val="auto"/>
        </w:rPr>
        <w:t>19.《关于建立放射性同位素与射线装置辐射事故分级处理和报告制度的通知》（环发（2006）145号，原国家环境保护总局，2006年9月26日起施行）。</w:t>
      </w:r>
    </w:p>
    <w:p>
      <w:pPr>
        <w:spacing w:line="288" w:lineRule="auto"/>
        <w:ind w:firstLine="420" w:firstLineChars="200"/>
        <w:rPr>
          <w:rFonts w:hint="eastAsia" w:ascii="Arial" w:hAnsi="Arial" w:cs="Arial"/>
          <w:color w:val="auto"/>
        </w:rPr>
      </w:pPr>
      <w:r>
        <w:rPr>
          <w:rFonts w:hint="eastAsia" w:ascii="Arial" w:hAnsi="Arial" w:cs="Arial"/>
          <w:color w:val="auto"/>
        </w:rPr>
        <w:t>20.《放射性废物安全管理条例》（中华人民共和国国务院令第612号，2012年3月1日起施行）；</w:t>
      </w:r>
    </w:p>
    <w:p>
      <w:pPr>
        <w:spacing w:line="288" w:lineRule="auto"/>
        <w:ind w:firstLine="420" w:firstLineChars="200"/>
        <w:rPr>
          <w:rFonts w:hint="eastAsia" w:ascii="Arial" w:hAnsi="Arial" w:cs="Arial"/>
          <w:color w:val="auto"/>
        </w:rPr>
      </w:pPr>
      <w:r>
        <w:rPr>
          <w:rFonts w:hint="eastAsia" w:ascii="Arial" w:hAnsi="Arial" w:cs="Arial"/>
          <w:color w:val="auto"/>
        </w:rPr>
        <w:t>21.《关于发布射线装置分类的公告》（环境保护部、国家卫生和计划生育委员会公告2017年第66号），2017年12月5日；</w:t>
      </w:r>
    </w:p>
    <w:p>
      <w:pPr>
        <w:spacing w:line="288" w:lineRule="auto"/>
        <w:ind w:firstLine="420" w:firstLineChars="200"/>
        <w:rPr>
          <w:rFonts w:hint="eastAsia" w:ascii="Arial" w:hAnsi="Arial" w:cs="Arial"/>
          <w:color w:val="auto"/>
        </w:rPr>
      </w:pPr>
      <w:r>
        <w:rPr>
          <w:rFonts w:hint="eastAsia" w:ascii="Arial" w:hAnsi="Arial" w:cs="Arial"/>
          <w:color w:val="auto"/>
        </w:rPr>
        <w:t>21.《放射工作人员职业健康管理办法》（卫生部第55号令，2007年），2007年11月1日起实施；</w:t>
      </w:r>
    </w:p>
    <w:p>
      <w:pPr>
        <w:spacing w:line="288" w:lineRule="auto"/>
        <w:ind w:firstLine="420" w:firstLineChars="200"/>
        <w:rPr>
          <w:rFonts w:ascii="Arial" w:hAnsi="Arial" w:cs="Arial"/>
          <w:color w:val="auto"/>
        </w:rPr>
      </w:pPr>
      <w:r>
        <w:rPr>
          <w:rFonts w:hint="eastAsia" w:ascii="Arial" w:hAnsi="Arial" w:cs="Arial"/>
          <w:color w:val="auto"/>
        </w:rPr>
        <w:t>23.《关于印发辐射安全许可座谈会会议纪要的函》（国家环境保护总局办公厅 环办函[2006]629号）；</w:t>
      </w:r>
      <w:r>
        <w:rPr>
          <w:rFonts w:ascii="Arial" w:hAnsi="Arial" w:cs="Arial"/>
          <w:color w:val="auto"/>
        </w:rPr>
        <w:t>12</w:t>
      </w:r>
      <w:r>
        <w:rPr>
          <w:rFonts w:hint="eastAsia" w:ascii="Arial" w:hAnsi="Arial" w:cs="Arial"/>
          <w:color w:val="auto"/>
        </w:rPr>
        <w:t>、</w:t>
      </w:r>
      <w:r>
        <w:rPr>
          <w:rFonts w:ascii="Arial" w:hAnsi="Arial" w:cs="Arial"/>
          <w:color w:val="auto"/>
        </w:rPr>
        <w:t>《自治区卫生健康委关于印发广西壮族自治区放射诊疗机构放射防护管理规范的通知》—桂卫规〔2018〕9 号，2018 年 12 月 9 日。</w:t>
      </w:r>
    </w:p>
    <w:p>
      <w:pPr>
        <w:spacing w:line="288" w:lineRule="auto"/>
        <w:textAlignment w:val="baseline"/>
        <w:rPr>
          <w:rStyle w:val="5"/>
          <w:rFonts w:ascii="Arial" w:hAnsi="Arial" w:cs="Arial"/>
          <w:b/>
          <w:bCs/>
          <w:color w:val="auto"/>
          <w:sz w:val="24"/>
        </w:rPr>
      </w:pPr>
      <w:r>
        <w:rPr>
          <w:rStyle w:val="5"/>
          <w:rFonts w:ascii="Arial" w:hAnsi="Arial" w:cs="Arial"/>
          <w:b/>
          <w:bCs/>
          <w:color w:val="auto"/>
          <w:sz w:val="24"/>
        </w:rPr>
        <w:t>三、技术标准：</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1.《电离辐射防护与辐射源安全基本标准》GB 18871-2002；</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2.《操作非密封源的辐射防护规定》GB 11930-2010；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3.《核医学放射防护要求》GBZ 120-2020；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4.《职业性外照射个人监测规范》GBZ 128-2019；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5.《工作场所职业病危害警示标识》GBZ 158-2003；</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6.《放射工作人员健康要求及监护规范》GBZ 98-2020；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7.《医学放射工作人员放射防护培训规范》GBZ/T 149-2015；</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8.《建设项目职业病危害放射防护评价报告编制规范》GBZ/T 181-2006；</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9.《人体体表放射性核素污染处理规范》GBZ/T 216-2009；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10.《放射事故医学应急预案编制规范》WS/T 328-2011；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11.《放射性核素内污染人员医学处理规范》WS/T 583-2017；</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12.《放射诊断放射防护要求》GBZ 130-2020。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13.《职业性皮肤放射性污染个人监测规范》GBZ 166-2005；</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14.《临床核医学的患者防护与质量控制规范》GB16361-2012；</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15.《表面污染测定 第1部分：b发射体（Ebmax＞0.15MeV）和a发射体》GB/T 14056.1-2008；</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16.《医疗照射放射防护基本要求》GBZ 179-2006；</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17.《X射线计算机体层摄影装置质量控制检测规范》WS 519-2019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18.《放射工作人员职业健康监护技术规范》GBZ 235-2011；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19.《医用放射性废物管理卫生防护标准》GBZ 133-2009；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20.《临床核医学患者防护要求》WS 533-2017；</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21.《放射性核素成像设备 性能和试验规则 第1部分：正电子发射断层成像装置》(GB/T 18988.1-2013)；</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22.《正电子发射断层成像装置性能测试》(NEMA NU 2-2012)；</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23.《伽马照相机、单光子发射断层成像设备（SPECT）质量控制检测规范》WS523-2019；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24.《放射治疗放射防护要求》GBZ 121-2020；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25.《放射治疗机房的辐射屏蔽规范 第一部分：一般原则》GBZ/T 201.1-2007；</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26.《建设项目职业病危害放射防护评价规范第2部分：放射治疗装置》GBZ/T 220.2-2009；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27.《职业健康监护技术规范》GBZ 188-2014；</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28.《后装γ源近距离治疗质量控制检测规范》WS262-2017；</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29.《放射治疗机房的辐射屏蔽规范第3部分：γ射线源放射治疗机房》；GBZT 201.3-2014；</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30.《放射治疗机房的辐射屏蔽规范：第2部分：电子直线加速器放射治疗机房》GBZ/T 201.2-2011；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31.《医用电子直线加速器质量控制检测规范》WS 674-2020；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32.《医用X射线诊断设备质量控制检测规范》WS 76-2020；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33.《放射治疗辐射安全与防护要求》（HJ 1198-2021）；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34.《放射治疗放射防护要求》（GBZ 121-2020）；</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35.《放射治疗机房的辐射屏蔽规范 第1部分： 一般原则》（GBZ/T201.1-2007）；</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36.《放射治疗机房的辐射屏蔽规范 第2部分：电子直线加速器放射治疗机房》（GBZ/T 201.2-2011）；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37.《建设项目环境影响评价技术导则总纲》（HJ2.1-2016）；</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38.《辐射环境保护管理导则 核技术利用建设项目 环境影响评价文件的内容和格式》（HJ 10.1-2016），环境保护部；</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39.《辐射环境监测技术规范》（HJ61-2021）；</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40《电离辐射防护与辐射源安全基本标准》（GB18871-2002）；</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41.《职业性外照射个人监测规范》（GBZ128-2019）；</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42.《工作场所职业病危害警示标识》（GBZ158-2003）；</w:t>
      </w:r>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43.《工作场所有害因素职业接触限值 第1部分：化学有害因素》（GBZ2.1-2019）；</w:t>
      </w:r>
    </w:p>
    <w:p>
      <w:pPr>
        <w:spacing w:line="360" w:lineRule="auto"/>
        <w:ind w:firstLine="420" w:firstLineChars="200"/>
        <w:textAlignment w:val="baseline"/>
        <w:rPr>
          <w:rFonts w:hint="eastAsia" w:ascii="Arial" w:hAnsi="Arial" w:eastAsia="宋体" w:cs="Arial"/>
          <w:color w:val="auto"/>
          <w:lang w:eastAsia="zh-CN"/>
        </w:rPr>
      </w:pPr>
      <w:r>
        <w:rPr>
          <w:rFonts w:hint="eastAsia" w:ascii="Arial" w:hAnsi="Arial" w:cs="Arial"/>
          <w:color w:val="auto"/>
        </w:rPr>
        <w:t>44.《环境γ辐射剂量率测量技术规范》（HJ 1157-2021）</w:t>
      </w:r>
      <w:r>
        <w:rPr>
          <w:rFonts w:hint="eastAsia" w:ascii="Arial" w:hAnsi="Arial" w:cs="Arial"/>
          <w:color w:val="auto"/>
          <w:lang w:eastAsia="zh-CN"/>
        </w:rPr>
        <w:t>；</w:t>
      </w:r>
      <w:bookmarkStart w:id="0" w:name="_GoBack"/>
      <w:bookmarkEnd w:id="0"/>
    </w:p>
    <w:p>
      <w:pPr>
        <w:spacing w:line="360" w:lineRule="auto"/>
        <w:ind w:firstLine="420" w:firstLineChars="200"/>
        <w:textAlignment w:val="baseline"/>
        <w:rPr>
          <w:rFonts w:hint="eastAsia" w:ascii="Arial" w:hAnsi="Arial" w:cs="Arial"/>
          <w:color w:val="auto"/>
        </w:rPr>
      </w:pPr>
      <w:r>
        <w:rPr>
          <w:rFonts w:hint="eastAsia" w:ascii="Arial" w:hAnsi="Arial" w:cs="Arial"/>
          <w:color w:val="auto"/>
        </w:rPr>
        <w:t>45《核辐射环境质量评价一般规定》（GB11215-89）；</w:t>
      </w:r>
    </w:p>
    <w:p>
      <w:pPr>
        <w:spacing w:line="360" w:lineRule="auto"/>
        <w:textAlignment w:val="baseline"/>
        <w:rPr>
          <w:rFonts w:hint="eastAsia" w:ascii="Arial" w:hAnsi="Arial" w:cs="Arial"/>
          <w:b/>
          <w:bCs/>
          <w:color w:val="auto"/>
          <w:kern w:val="0"/>
          <w:szCs w:val="21"/>
          <w:lang w:bidi="ar"/>
        </w:rPr>
      </w:pPr>
      <w:r>
        <w:rPr>
          <w:rStyle w:val="5"/>
          <w:rFonts w:hint="eastAsia" w:ascii="Arial" w:hAnsi="Arial" w:cs="Arial"/>
          <w:b/>
          <w:bCs/>
          <w:color w:val="auto"/>
          <w:sz w:val="22"/>
          <w:szCs w:val="22"/>
        </w:rPr>
        <w:t>四</w:t>
      </w:r>
      <w:r>
        <w:rPr>
          <w:rStyle w:val="5"/>
          <w:rFonts w:hint="eastAsia" w:ascii="Arial" w:hAnsi="Arial" w:cs="Arial"/>
          <w:b/>
          <w:bCs/>
          <w:color w:val="auto"/>
          <w:sz w:val="24"/>
        </w:rPr>
        <w:t>、</w:t>
      </w:r>
      <w:r>
        <w:rPr>
          <w:rFonts w:hint="eastAsia" w:ascii="Arial" w:hAnsi="Arial" w:cs="Arial"/>
          <w:b/>
          <w:bCs/>
          <w:color w:val="auto"/>
          <w:kern w:val="0"/>
          <w:szCs w:val="21"/>
          <w:lang w:bidi="ar"/>
        </w:rPr>
        <w:t>供应商须提供针对本项目的设计图，未成交供应商响应文件中设计图的技术成果不予经济补偿，供应商自行考虑风险。</w:t>
      </w:r>
    </w:p>
    <w:p>
      <w:pPr>
        <w:spacing w:line="360" w:lineRule="auto"/>
        <w:textAlignment w:val="baseline"/>
        <w:rPr>
          <w:rFonts w:hint="default" w:ascii="Arial" w:hAnsi="Arial" w:cs="Arial"/>
          <w:color w:val="auto"/>
          <w:sz w:val="24"/>
          <w:lang w:val="en-US"/>
        </w:rPr>
      </w:pPr>
      <w:r>
        <w:rPr>
          <w:rStyle w:val="5"/>
          <w:rFonts w:hint="eastAsia" w:ascii="Arial" w:hAnsi="Arial" w:cs="Arial"/>
          <w:b/>
          <w:bCs/>
          <w:color w:val="auto"/>
          <w:sz w:val="24"/>
        </w:rPr>
        <w:t>五</w:t>
      </w:r>
      <w:r>
        <w:rPr>
          <w:rStyle w:val="5"/>
          <w:rFonts w:ascii="Arial" w:hAnsi="Arial" w:cs="Arial"/>
          <w:b/>
          <w:bCs/>
          <w:color w:val="auto"/>
          <w:sz w:val="24"/>
        </w:rPr>
        <w:t>、职业病危害评价技术服务项目清单</w:t>
      </w:r>
      <w:r>
        <w:rPr>
          <w:rStyle w:val="5"/>
          <w:rFonts w:hint="eastAsia" w:ascii="Arial" w:hAnsi="Arial" w:cs="Arial"/>
          <w:b/>
          <w:bCs/>
          <w:color w:val="auto"/>
          <w:sz w:val="24"/>
          <w:lang w:val="en-US"/>
        </w:rPr>
        <w:t>:</w:t>
      </w:r>
    </w:p>
    <w:tbl>
      <w:tblPr>
        <w:tblStyle w:val="3"/>
        <w:tblW w:w="10022" w:type="dxa"/>
        <w:tblInd w:w="100" w:type="dxa"/>
        <w:tblLayout w:type="fixed"/>
        <w:tblCellMar>
          <w:top w:w="0" w:type="dxa"/>
          <w:left w:w="108" w:type="dxa"/>
          <w:bottom w:w="0" w:type="dxa"/>
          <w:right w:w="108" w:type="dxa"/>
        </w:tblCellMar>
      </w:tblPr>
      <w:tblGrid>
        <w:gridCol w:w="572"/>
        <w:gridCol w:w="1125"/>
        <w:gridCol w:w="2563"/>
        <w:gridCol w:w="675"/>
        <w:gridCol w:w="675"/>
        <w:gridCol w:w="675"/>
        <w:gridCol w:w="1577"/>
        <w:gridCol w:w="2160"/>
      </w:tblGrid>
      <w:tr>
        <w:tblPrEx>
          <w:tblCellMar>
            <w:top w:w="0" w:type="dxa"/>
            <w:left w:w="108" w:type="dxa"/>
            <w:bottom w:w="0" w:type="dxa"/>
            <w:right w:w="108" w:type="dxa"/>
          </w:tblCellMar>
        </w:tblPrEx>
        <w:trPr>
          <w:trHeight w:val="504" w:hRule="atLeast"/>
        </w:trPr>
        <w:tc>
          <w:tcPr>
            <w:tcW w:w="10022"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1、建设项目职业病危害预评价技术服务：</w:t>
            </w:r>
          </w:p>
        </w:tc>
      </w:tr>
      <w:tr>
        <w:tblPrEx>
          <w:tblCellMar>
            <w:top w:w="0" w:type="dxa"/>
            <w:left w:w="108" w:type="dxa"/>
            <w:bottom w:w="0" w:type="dxa"/>
            <w:right w:w="108" w:type="dxa"/>
          </w:tblCellMar>
        </w:tblPrEx>
        <w:trPr>
          <w:trHeight w:val="827"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学科</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设备名称/源项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数量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类别</w:t>
            </w:r>
          </w:p>
        </w:tc>
        <w:tc>
          <w:tcPr>
            <w:tcW w:w="373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备注</w:t>
            </w:r>
          </w:p>
        </w:tc>
      </w:tr>
      <w:tr>
        <w:tblPrEx>
          <w:tblCellMar>
            <w:top w:w="0" w:type="dxa"/>
            <w:left w:w="108" w:type="dxa"/>
            <w:bottom w:w="0" w:type="dxa"/>
            <w:right w:w="108" w:type="dxa"/>
          </w:tblCellMar>
        </w:tblPrEx>
        <w:trPr>
          <w:trHeight w:val="632"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1</w:t>
            </w:r>
          </w:p>
        </w:tc>
        <w:tc>
          <w:tcPr>
            <w:tcW w:w="1125"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eastAsia="zh-CN"/>
              </w:rPr>
              <w:t>介入室</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DSA</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Ⅲ</w:t>
            </w:r>
          </w:p>
        </w:tc>
        <w:tc>
          <w:tcPr>
            <w:tcW w:w="3737" w:type="dxa"/>
            <w:gridSpan w:val="2"/>
            <w:vMerge w:val="restart"/>
            <w:tcBorders>
              <w:top w:val="single" w:color="000000" w:sz="4" w:space="0"/>
              <w:left w:val="single" w:color="000000" w:sz="4" w:space="0"/>
              <w:right w:val="single" w:color="000000" w:sz="4" w:space="0"/>
            </w:tcBorders>
            <w:noWrap w:val="0"/>
            <w:vAlign w:val="center"/>
          </w:tcPr>
          <w:p>
            <w:pPr>
              <w:jc w:val="left"/>
              <w:rPr>
                <w:rFonts w:hint="eastAsia" w:ascii="宋体" w:hAnsi="宋体" w:cs="宋体"/>
                <w:color w:val="auto"/>
                <w:szCs w:val="21"/>
              </w:rPr>
            </w:pPr>
            <w:r>
              <w:rPr>
                <w:rFonts w:hint="eastAsia" w:ascii="宋体" w:hAnsi="宋体" w:cs="宋体"/>
                <w:color w:val="auto"/>
                <w:kern w:val="0"/>
                <w:szCs w:val="21"/>
                <w:lang w:bidi="ar"/>
              </w:rPr>
              <w:t>1、DSA设备卫健委定为Ⅲ环保定位Ⅱ类。                                                                                                                                           2、本项目有Ⅱ类严重危害项目，所以需编制报告书。                                                                                                             3、广西卫健委将PET-CT定为甲类，需国家级专家评审。                                                                                                     4、本报价含专家评审费用。</w:t>
            </w:r>
          </w:p>
        </w:tc>
      </w:tr>
      <w:tr>
        <w:tblPrEx>
          <w:tblCellMar>
            <w:top w:w="0" w:type="dxa"/>
            <w:left w:w="108" w:type="dxa"/>
            <w:bottom w:w="0" w:type="dxa"/>
            <w:right w:w="108" w:type="dxa"/>
          </w:tblCellMar>
        </w:tblPrEx>
        <w:trPr>
          <w:trHeight w:val="89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2</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核医学科</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PET-CT（含PET-CT及配套用房及衰变池）</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37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872"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3</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甲癌病房（含甲癌病房配套用房及衰变池）</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37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1020"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4</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回旋加速器（含回旋加速器配套用房</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37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840"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5</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放射科</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DR</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Ⅲ</w:t>
            </w:r>
          </w:p>
        </w:tc>
        <w:tc>
          <w:tcPr>
            <w:tcW w:w="37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805"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6</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CT</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Ⅲ</w:t>
            </w:r>
          </w:p>
        </w:tc>
        <w:tc>
          <w:tcPr>
            <w:tcW w:w="373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489" w:hRule="atLeast"/>
        </w:trPr>
        <w:tc>
          <w:tcPr>
            <w:tcW w:w="10022"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2、新建项目环境影响评价技术服务：</w:t>
            </w:r>
          </w:p>
        </w:tc>
      </w:tr>
      <w:tr>
        <w:tblPrEx>
          <w:tblCellMar>
            <w:top w:w="0" w:type="dxa"/>
            <w:left w:w="108" w:type="dxa"/>
            <w:bottom w:w="0" w:type="dxa"/>
            <w:right w:w="108" w:type="dxa"/>
          </w:tblCellMar>
        </w:tblPrEx>
        <w:trPr>
          <w:trHeight w:val="81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学科</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设备名称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单位</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数量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类别</w:t>
            </w: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申报或报告种类</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备注</w:t>
            </w:r>
          </w:p>
        </w:tc>
      </w:tr>
      <w:tr>
        <w:tblPrEx>
          <w:tblCellMar>
            <w:top w:w="0" w:type="dxa"/>
            <w:left w:w="108" w:type="dxa"/>
            <w:bottom w:w="0" w:type="dxa"/>
            <w:right w:w="108" w:type="dxa"/>
          </w:tblCellMar>
        </w:tblPrEx>
        <w:trPr>
          <w:trHeight w:val="734"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eastAsia="zh-CN" w:bidi="ar"/>
              </w:rPr>
              <w:t>介入室</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DSA</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编制环境影响评价报告表</w:t>
            </w:r>
          </w:p>
        </w:tc>
        <w:tc>
          <w:tcPr>
            <w:tcW w:w="21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auto"/>
                <w:szCs w:val="21"/>
              </w:rPr>
            </w:pPr>
            <w:r>
              <w:rPr>
                <w:rFonts w:hint="eastAsia" w:ascii="宋体" w:hAnsi="宋体" w:cs="宋体"/>
                <w:color w:val="auto"/>
                <w:kern w:val="0"/>
                <w:szCs w:val="21"/>
                <w:lang w:bidi="ar"/>
              </w:rPr>
              <w:t>1、DSA设备卫健委定为Ⅲ环保定位Ⅱ类。                                                                                                                                           2、本项目有Ⅲ类射线装置只需将防护方案及设备参数要在环保厅网站申报即可。                                                                                     3、本项目Ⅱ类严重危害项目，需编制新建项目环境影响评价报告表。                                                                                                             4、项目开展前需先做本底监测调查。                                                                                                    5、本报价含专家评审费用。</w:t>
            </w:r>
          </w:p>
        </w:tc>
      </w:tr>
      <w:tr>
        <w:tblPrEx>
          <w:tblCellMar>
            <w:top w:w="0" w:type="dxa"/>
            <w:left w:w="108" w:type="dxa"/>
            <w:bottom w:w="0" w:type="dxa"/>
            <w:right w:w="108" w:type="dxa"/>
          </w:tblCellMar>
        </w:tblPrEx>
        <w:trPr>
          <w:trHeight w:val="1052"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2</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核医学科</w:t>
            </w: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PET-CT（含PET-CT及配套用房及衰变池）</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编制环境影响评价报告表</w:t>
            </w: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1227"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3</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甲癌病房（含甲癌病房配套用房及衰变池）</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编制环境影响评价报告表</w:t>
            </w: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r>
        <w:tblPrEx>
          <w:tblCellMar>
            <w:top w:w="0" w:type="dxa"/>
            <w:left w:w="108" w:type="dxa"/>
            <w:bottom w:w="0" w:type="dxa"/>
            <w:right w:w="108" w:type="dxa"/>
          </w:tblCellMar>
        </w:tblPrEx>
        <w:trPr>
          <w:trHeight w:val="812" w:hRule="atLeast"/>
        </w:trPr>
        <w:tc>
          <w:tcPr>
            <w:tcW w:w="5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lang w:val="en-US" w:eastAsia="zh-CN" w:bidi="ar"/>
              </w:rPr>
              <w:t>4</w:t>
            </w: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c>
          <w:tcPr>
            <w:tcW w:w="2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eastAsia="宋体" w:cs="宋体"/>
                <w:i w:val="0"/>
                <w:iCs w:val="0"/>
                <w:color w:val="000000"/>
                <w:kern w:val="0"/>
                <w:sz w:val="24"/>
                <w:szCs w:val="24"/>
                <w:u w:val="none"/>
                <w:lang w:val="en-US" w:eastAsia="zh-CN" w:bidi="ar"/>
              </w:rPr>
              <w:t>回旋加速器（含回旋加速器配套用房</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项</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Cs w:val="21"/>
              </w:rPr>
            </w:pPr>
            <w:r>
              <w:rPr>
                <w:rFonts w:hint="eastAsia" w:ascii="宋体" w:hAnsi="宋体" w:cs="宋体"/>
                <w:color w:val="auto"/>
                <w:kern w:val="0"/>
                <w:szCs w:val="21"/>
                <w:lang w:bidi="ar"/>
              </w:rPr>
              <w:t>Ⅱ</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编制环境影响评价报告表</w:t>
            </w:r>
          </w:p>
        </w:tc>
        <w:tc>
          <w:tcPr>
            <w:tcW w:w="21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rPr>
            </w:pPr>
          </w:p>
        </w:tc>
      </w:tr>
    </w:tbl>
    <w:p/>
    <w:sectPr>
      <w:pgSz w:w="11906" w:h="16838"/>
      <w:pgMar w:top="1100" w:right="952" w:bottom="1100"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00000000"/>
    <w:rsid w:val="04932CE9"/>
    <w:rsid w:val="04E946B7"/>
    <w:rsid w:val="070D0B30"/>
    <w:rsid w:val="095073FA"/>
    <w:rsid w:val="12865C3B"/>
    <w:rsid w:val="17FF4DE1"/>
    <w:rsid w:val="18B64A2D"/>
    <w:rsid w:val="1C0876C1"/>
    <w:rsid w:val="1CAA46FC"/>
    <w:rsid w:val="1E27575F"/>
    <w:rsid w:val="209459C7"/>
    <w:rsid w:val="23797B0A"/>
    <w:rsid w:val="26321F0A"/>
    <w:rsid w:val="282249EF"/>
    <w:rsid w:val="282D0BDB"/>
    <w:rsid w:val="282E1EF9"/>
    <w:rsid w:val="285C326E"/>
    <w:rsid w:val="2FF67B04"/>
    <w:rsid w:val="359A53D6"/>
    <w:rsid w:val="36A913E9"/>
    <w:rsid w:val="396F2A61"/>
    <w:rsid w:val="3CFB035C"/>
    <w:rsid w:val="3EE85404"/>
    <w:rsid w:val="48586611"/>
    <w:rsid w:val="4BA6642B"/>
    <w:rsid w:val="4C401863"/>
    <w:rsid w:val="4CA92473"/>
    <w:rsid w:val="57C67A33"/>
    <w:rsid w:val="5C3105E9"/>
    <w:rsid w:val="5E8E347A"/>
    <w:rsid w:val="5F3B6A32"/>
    <w:rsid w:val="5F9F5213"/>
    <w:rsid w:val="5FA97E40"/>
    <w:rsid w:val="5FE323B4"/>
    <w:rsid w:val="62670031"/>
    <w:rsid w:val="64F979CC"/>
    <w:rsid w:val="654C7BEB"/>
    <w:rsid w:val="667F6F93"/>
    <w:rsid w:val="66A55805"/>
    <w:rsid w:val="67143DD5"/>
    <w:rsid w:val="672F3320"/>
    <w:rsid w:val="6AD42215"/>
    <w:rsid w:val="6CB45CD3"/>
    <w:rsid w:val="6E443B55"/>
    <w:rsid w:val="73AA445A"/>
    <w:rsid w:val="742064B6"/>
    <w:rsid w:val="75784A9E"/>
    <w:rsid w:val="78872FBC"/>
    <w:rsid w:val="7A3F6D91"/>
    <w:rsid w:val="7AA360D0"/>
    <w:rsid w:val="7AFB1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2023-09-14T01:16:00Z</dcterms:created>
  <dc:creator>dell</dc:creator>
  <cp:lastModifiedBy>设备科温</cp:lastModifiedBy>
  <dcterms:modified xsi:type="dcterms:W3CDTF">2023-10-07T10:15:49Z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DD57CF9D77074EB8806D5C4BF934AE25_12</vt:lpwstr>
  </property>
</Properties>
</file>