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560"/>
        <w:jc w:val="center"/>
        <w:rPr>
          <w:rFonts w:hint="default"/>
          <w:lang w:val="en-US" w:eastAsia="zh-CN"/>
        </w:rPr>
      </w:pPr>
      <w:r>
        <w:rPr>
          <w:rFonts w:hint="eastAsia"/>
          <w:lang w:val="en-US" w:eastAsia="zh-CN"/>
        </w:rPr>
        <w:t>麻醉</w:t>
      </w:r>
      <w:r>
        <w:rPr>
          <w:rFonts w:hint="eastAsia"/>
        </w:rPr>
        <w:t>移动访视子系统</w:t>
      </w:r>
      <w:r>
        <w:rPr>
          <w:rFonts w:hint="eastAsia"/>
          <w:lang w:val="en-US" w:eastAsia="zh-CN"/>
        </w:rPr>
        <w:t>及配套硬件项目采购需求</w:t>
      </w:r>
    </w:p>
    <w:p>
      <w:pPr>
        <w:pStyle w:val="7"/>
        <w:ind w:firstLine="560"/>
      </w:pPr>
      <w:r>
        <w:rPr>
          <w:rFonts w:hint="eastAsia"/>
          <w:lang w:val="en-US" w:eastAsia="zh-CN"/>
        </w:rPr>
        <w:t>为更好的规范</w:t>
      </w:r>
      <w:r>
        <w:rPr>
          <w:rFonts w:hint="eastAsia"/>
        </w:rPr>
        <w:t>麻醉相关访视</w:t>
      </w:r>
      <w:r>
        <w:rPr>
          <w:rFonts w:hint="eastAsia"/>
          <w:lang w:val="en-US" w:eastAsia="zh-CN"/>
        </w:rPr>
        <w:t>流程，</w:t>
      </w:r>
      <w:r>
        <w:rPr>
          <w:rFonts w:hint="eastAsia"/>
        </w:rPr>
        <w:t>符合医院信息化管理需求，</w:t>
      </w:r>
      <w:r>
        <w:rPr>
          <w:rFonts w:hint="eastAsia"/>
          <w:lang w:val="en-US" w:eastAsia="zh-CN"/>
        </w:rPr>
        <w:t>现采购麻醉</w:t>
      </w:r>
      <w:r>
        <w:rPr>
          <w:rFonts w:hint="eastAsia"/>
        </w:rPr>
        <w:t>移动访视子系统</w:t>
      </w:r>
      <w:r>
        <w:rPr>
          <w:rFonts w:hint="eastAsia"/>
          <w:lang w:val="en-US" w:eastAsia="zh-CN"/>
        </w:rPr>
        <w:t>及配套硬件</w:t>
      </w:r>
      <w:r>
        <w:rPr>
          <w:rFonts w:hint="eastAsia"/>
          <w:lang w:eastAsia="zh-CN"/>
        </w:rPr>
        <w:t>，</w:t>
      </w:r>
      <w:r>
        <w:rPr>
          <w:rFonts w:hint="eastAsia"/>
        </w:rPr>
        <w:t>利用APP功能运行在 Android 平台，做到过程录入无纸化，信息数据同步上传，</w:t>
      </w:r>
      <w:r>
        <w:rPr>
          <w:rFonts w:hint="eastAsia"/>
          <w:lang w:val="en-US" w:eastAsia="zh-CN"/>
        </w:rPr>
        <w:t>并与现有的临床麻醉系统进行无缝对接（如涉及接口费用，中标方承担），</w:t>
      </w:r>
      <w:r>
        <w:rPr>
          <w:rFonts w:hint="eastAsia"/>
        </w:rPr>
        <w:t>提高医生工作效率，提升医院麻醉工作信息化建设。</w:t>
      </w:r>
      <w:r>
        <w:rPr>
          <w:rFonts w:hint="eastAsia"/>
          <w:lang w:val="en-US" w:eastAsia="zh-CN"/>
        </w:rPr>
        <w:t>功能需求如下：</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715"/>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pPr>
              <w:spacing w:line="240" w:lineRule="auto"/>
              <w:rPr>
                <w:rFonts w:hint="eastAsia" w:ascii="新宋体" w:hAnsi="新宋体" w:eastAsia="新宋体" w:cs="新宋体"/>
                <w:b/>
                <w:bCs/>
                <w:sz w:val="21"/>
                <w:szCs w:val="21"/>
              </w:rPr>
            </w:pPr>
            <w:r>
              <w:rPr>
                <w:rFonts w:hint="eastAsia" w:ascii="新宋体" w:hAnsi="新宋体" w:eastAsia="新宋体" w:cs="新宋体"/>
                <w:b/>
                <w:bCs/>
                <w:sz w:val="21"/>
                <w:szCs w:val="21"/>
              </w:rPr>
              <w:t>系统名称</w:t>
            </w:r>
          </w:p>
        </w:tc>
        <w:tc>
          <w:tcPr>
            <w:tcW w:w="1006" w:type="pct"/>
            <w:vAlign w:val="center"/>
          </w:tcPr>
          <w:p>
            <w:pPr>
              <w:spacing w:line="240" w:lineRule="auto"/>
              <w:rPr>
                <w:rFonts w:hint="eastAsia" w:ascii="新宋体" w:hAnsi="新宋体" w:eastAsia="新宋体" w:cs="新宋体"/>
                <w:b/>
                <w:bCs/>
                <w:sz w:val="21"/>
                <w:szCs w:val="21"/>
              </w:rPr>
            </w:pPr>
            <w:r>
              <w:rPr>
                <w:rFonts w:hint="eastAsia" w:ascii="新宋体" w:hAnsi="新宋体" w:eastAsia="新宋体" w:cs="新宋体"/>
                <w:b/>
                <w:bCs/>
                <w:sz w:val="21"/>
                <w:szCs w:val="21"/>
              </w:rPr>
              <w:t>功能名称</w:t>
            </w:r>
          </w:p>
        </w:tc>
        <w:tc>
          <w:tcPr>
            <w:tcW w:w="3049" w:type="pct"/>
            <w:vAlign w:val="center"/>
          </w:tcPr>
          <w:p>
            <w:pPr>
              <w:spacing w:line="240" w:lineRule="auto"/>
              <w:rPr>
                <w:rFonts w:hint="eastAsia" w:ascii="新宋体" w:hAnsi="新宋体" w:eastAsia="新宋体" w:cs="新宋体"/>
                <w:b/>
                <w:bCs/>
                <w:sz w:val="21"/>
                <w:szCs w:val="21"/>
              </w:rPr>
            </w:pPr>
            <w:r>
              <w:rPr>
                <w:rFonts w:hint="eastAsia" w:ascii="新宋体" w:hAnsi="新宋体" w:eastAsia="新宋体" w:cs="新宋体"/>
                <w:b/>
                <w:bCs/>
                <w:sz w:val="21"/>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44" w:type="pct"/>
            <w:vMerge w:val="restart"/>
            <w:vAlign w:val="center"/>
          </w:tcPr>
          <w:p>
            <w:pPr>
              <w:spacing w:line="240" w:lineRule="auto"/>
              <w:rPr>
                <w:rFonts w:hint="eastAsia" w:ascii="新宋体" w:hAnsi="新宋体" w:eastAsia="新宋体" w:cs="新宋体"/>
                <w:sz w:val="21"/>
                <w:szCs w:val="21"/>
              </w:rPr>
            </w:pPr>
            <w:r>
              <w:rPr>
                <w:rFonts w:hint="eastAsia" w:ascii="新宋体" w:hAnsi="新宋体" w:eastAsia="新宋体" w:cs="新宋体"/>
                <w:kern w:val="0"/>
                <w:sz w:val="21"/>
                <w:szCs w:val="21"/>
              </w:rPr>
              <w:t>基本功能</w:t>
            </w: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患者床位列表</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按照病区显示手术患者列表信息，支持扫描腕带检索患者并识别患者身份。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44" w:type="pct"/>
            <w:vMerge w:val="continue"/>
            <w:vAlign w:val="center"/>
          </w:tcPr>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患者基本信息</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查询患者的基本信息、手术信息、ASA分级、手术状态等内容。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44" w:type="pct"/>
            <w:vMerge w:val="restart"/>
            <w:vAlign w:val="center"/>
          </w:tcPr>
          <w:p>
            <w:pPr>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术前访视流程</w:t>
            </w: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术前访视单</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根据手术患者实际情况记录相关术前访视评估单的内容，相关内容长期保存，可随时调阅。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44" w:type="pct"/>
            <w:vMerge w:val="continue"/>
            <w:vAlign w:val="center"/>
          </w:tcPr>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麻醉知情同意书</w:t>
            </w:r>
          </w:p>
        </w:tc>
        <w:tc>
          <w:tcPr>
            <w:tcW w:w="3049" w:type="pct"/>
            <w:vAlign w:val="center"/>
          </w:tcPr>
          <w:p>
            <w:pPr>
              <w:spacing w:line="240" w:lineRule="auto"/>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根据手术患者实际情况记录麻醉知情同意书，如记录麻醉方法、拟行手术，并提供麻醉期间可能出现的意外和并发症。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44" w:type="pct"/>
            <w:vMerge w:val="continue"/>
            <w:vAlign w:val="center"/>
          </w:tcPr>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麻醉前三方核查</w:t>
            </w:r>
          </w:p>
        </w:tc>
        <w:tc>
          <w:tcPr>
            <w:tcW w:w="3049" w:type="pct"/>
            <w:vAlign w:val="center"/>
          </w:tcPr>
          <w:p>
            <w:pPr>
              <w:spacing w:line="240" w:lineRule="auto"/>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医护人员可通过电子云签完成三方核查单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44" w:type="pct"/>
            <w:vMerge w:val="continue"/>
            <w:vAlign w:val="center"/>
          </w:tcPr>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信息同步</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可以与检验系统对接，同步患者最近一次检验结果自动填入术前访视单的对应项目。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44" w:type="pct"/>
            <w:vMerge w:val="continue"/>
            <w:vAlign w:val="center"/>
          </w:tcPr>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信息集成</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能够与医院信息系统集成，查看患者的检验、检查、电子病历信息，辅助医生进行术前访视。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44" w:type="pct"/>
            <w:vAlign w:val="center"/>
          </w:tcPr>
          <w:p>
            <w:pPr>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术中文书</w:t>
            </w:r>
          </w:p>
        </w:tc>
        <w:tc>
          <w:tcPr>
            <w:tcW w:w="1006" w:type="pct"/>
            <w:vAlign w:val="center"/>
          </w:tcPr>
          <w:p>
            <w:pPr>
              <w:widowControl/>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器械清点单</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可通过移动平板完成对术中相关器械或者用药的手工录入。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44" w:type="pct"/>
            <w:vMerge w:val="restart"/>
            <w:vAlign w:val="center"/>
          </w:tcPr>
          <w:p>
            <w:pPr>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术后访视流程</w:t>
            </w: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术后访视单</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根据手术患者实际情况记录相关术后访视评估单的内容，相关内容长期保存，可随时调阅。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44" w:type="pct"/>
            <w:vMerge w:val="continue"/>
            <w:vAlign w:val="center"/>
          </w:tcPr>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术后镇痛访视单</w:t>
            </w:r>
          </w:p>
        </w:tc>
        <w:tc>
          <w:tcPr>
            <w:tcW w:w="3049" w:type="pct"/>
            <w:vAlign w:val="center"/>
          </w:tcPr>
          <w:p>
            <w:pPr>
              <w:widowControl/>
              <w:spacing w:line="240" w:lineRule="auto"/>
              <w:rPr>
                <w:rFonts w:hint="eastAsia" w:ascii="新宋体" w:hAnsi="新宋体" w:eastAsia="新宋体" w:cs="新宋体"/>
                <w:kern w:val="2"/>
                <w:sz w:val="21"/>
                <w:szCs w:val="21"/>
                <w:lang w:val="en-US" w:eastAsia="zh-CN" w:bidi="ar-SA"/>
              </w:rPr>
            </w:pPr>
            <w:r>
              <w:rPr>
                <w:rFonts w:hint="eastAsia" w:ascii="新宋体" w:hAnsi="新宋体" w:eastAsia="新宋体" w:cs="新宋体"/>
                <w:sz w:val="21"/>
                <w:szCs w:val="21"/>
                <w:lang w:val="en-US" w:eastAsia="zh-CN"/>
              </w:rPr>
              <w:t>根据术后镇痛情况自动生成术后镇痛记录单，并且手术信息自动提取，方便医生快速填写镇痛单，记录患者术后镇痛效果，以及镇痛用药，生成的术后镇痛单支持预览、打印。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44" w:type="pct"/>
            <w:vAlign w:val="center"/>
          </w:tcPr>
          <w:p>
            <w:pPr>
              <w:spacing w:line="240" w:lineRule="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患者交接</w:t>
            </w:r>
          </w:p>
        </w:tc>
        <w:tc>
          <w:tcPr>
            <w:tcW w:w="1006" w:type="pct"/>
            <w:vAlign w:val="center"/>
          </w:tcPr>
          <w:p>
            <w:pPr>
              <w:widowControl/>
              <w:spacing w:line="240" w:lineRule="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患者交接单</w:t>
            </w:r>
          </w:p>
        </w:tc>
        <w:tc>
          <w:tcPr>
            <w:tcW w:w="3049" w:type="pct"/>
            <w:vAlign w:val="center"/>
          </w:tcPr>
          <w:p>
            <w:pPr>
              <w:widowControl/>
              <w:spacing w:line="240" w:lineRule="auto"/>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在移动平板上完成填写手术室内的患者交接单的相关内容填写及签名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4" w:type="pct"/>
            <w:vMerge w:val="restart"/>
            <w:vAlign w:val="center"/>
          </w:tcPr>
          <w:p>
            <w:pPr>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离线保存，联网同步</w:t>
            </w: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离线保存</w:t>
            </w:r>
          </w:p>
        </w:tc>
        <w:tc>
          <w:tcPr>
            <w:tcW w:w="3049" w:type="pct"/>
            <w:vAlign w:val="center"/>
          </w:tcPr>
          <w:p>
            <w:pPr>
              <w:pStyle w:val="4"/>
              <w:spacing w:line="240" w:lineRule="auto"/>
              <w:ind w:firstLine="0" w:firstLineChars="0"/>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在无网络环境下打开已下载的访视患者，可以录入术前访视、术后随访信息并在本地离线存储访视数据。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4" w:type="pct"/>
            <w:vMerge w:val="continue"/>
            <w:vAlign w:val="center"/>
          </w:tcPr>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联网同步</w:t>
            </w:r>
          </w:p>
        </w:tc>
        <w:tc>
          <w:tcPr>
            <w:tcW w:w="3049" w:type="pct"/>
            <w:vAlign w:val="center"/>
          </w:tcPr>
          <w:p>
            <w:pPr>
              <w:widowControl/>
              <w:spacing w:line="240" w:lineRule="auto"/>
              <w:rPr>
                <w:rFonts w:hint="eastAsia"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在联网状态下，登录系统时，系统自动进行数据同步，通过移动终端自动批量下载待访视患者的基本信息到本地保存。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944" w:type="pct"/>
            <w:vAlign w:val="center"/>
          </w:tcPr>
          <w:p>
            <w:pPr>
              <w:pStyle w:val="4"/>
              <w:spacing w:line="240" w:lineRule="auto"/>
              <w:ind w:firstLine="0" w:firstLineChars="0"/>
              <w:rPr>
                <w:rFonts w:hint="eastAsia" w:ascii="新宋体" w:hAnsi="新宋体" w:eastAsia="新宋体" w:cs="新宋体"/>
                <w:sz w:val="21"/>
                <w:szCs w:val="21"/>
              </w:rPr>
            </w:pPr>
            <w:r>
              <w:rPr>
                <w:rFonts w:hint="eastAsia" w:ascii="新宋体" w:hAnsi="新宋体" w:eastAsia="新宋体" w:cs="新宋体"/>
                <w:sz w:val="21"/>
                <w:szCs w:val="21"/>
              </w:rPr>
              <w:t>文书打印</w:t>
            </w:r>
          </w:p>
          <w:p>
            <w:pPr>
              <w:spacing w:line="240" w:lineRule="auto"/>
              <w:rPr>
                <w:rFonts w:hint="eastAsia" w:ascii="新宋体" w:hAnsi="新宋体" w:eastAsia="新宋体" w:cs="新宋体"/>
                <w:sz w:val="21"/>
                <w:szCs w:val="21"/>
              </w:rPr>
            </w:pPr>
          </w:p>
        </w:tc>
        <w:tc>
          <w:tcPr>
            <w:tcW w:w="1006" w:type="pct"/>
            <w:vAlign w:val="center"/>
          </w:tcPr>
          <w:p>
            <w:pPr>
              <w:widowControl/>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t>随访文书打印</w:t>
            </w:r>
          </w:p>
        </w:tc>
        <w:tc>
          <w:tcPr>
            <w:tcW w:w="3049" w:type="pct"/>
            <w:vAlign w:val="center"/>
          </w:tcPr>
          <w:p>
            <w:pPr>
              <w:pStyle w:val="4"/>
              <w:spacing w:line="240" w:lineRule="auto"/>
              <w:ind w:firstLine="0" w:firstLineChars="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移动访视数据能够与麻醉系统保持同步，当移动访视系统数据上传完成后，用户在麻醉系统中，可对患者访视文书进行单独查看和打印，也可批量进行行文书查看和打印。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4" w:type="pct"/>
            <w:vAlign w:val="center"/>
          </w:tcPr>
          <w:p>
            <w:pPr>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电子签名</w:t>
            </w:r>
          </w:p>
        </w:tc>
        <w:tc>
          <w:tcPr>
            <w:tcW w:w="1006" w:type="pct"/>
            <w:vAlign w:val="center"/>
          </w:tcPr>
          <w:p>
            <w:pPr>
              <w:widowControl/>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电子签名</w:t>
            </w:r>
          </w:p>
        </w:tc>
        <w:tc>
          <w:tcPr>
            <w:tcW w:w="3049" w:type="pct"/>
            <w:vAlign w:val="center"/>
          </w:tcPr>
          <w:p>
            <w:pPr>
              <w:pStyle w:val="4"/>
              <w:spacing w:line="240" w:lineRule="auto"/>
              <w:ind w:firstLine="0" w:firstLineChars="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支持医务人员通过手机扫码等方式在相关文书上完成签名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4" w:type="pct"/>
            <w:vAlign w:val="center"/>
          </w:tcPr>
          <w:p>
            <w:pPr>
              <w:spacing w:line="240" w:lineRule="auto"/>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平板电脑</w:t>
            </w:r>
          </w:p>
        </w:tc>
        <w:tc>
          <w:tcPr>
            <w:tcW w:w="1006" w:type="pct"/>
            <w:vAlign w:val="center"/>
          </w:tcPr>
          <w:p>
            <w:pPr>
              <w:spacing w:line="240" w:lineRule="auto"/>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平板电脑</w:t>
            </w:r>
          </w:p>
        </w:tc>
        <w:tc>
          <w:tcPr>
            <w:tcW w:w="3049" w:type="pct"/>
            <w:vAlign w:val="center"/>
          </w:tcPr>
          <w:p>
            <w:pPr>
              <w:spacing w:line="240" w:lineRule="auto"/>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数量：18台</w:t>
            </w:r>
          </w:p>
          <w:p>
            <w:pPr>
              <w:spacing w:line="240" w:lineRule="auto"/>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系统：</w:t>
            </w:r>
            <w:r>
              <w:rPr>
                <w:rFonts w:hint="eastAsia"/>
              </w:rPr>
              <w:t>Android</w:t>
            </w:r>
            <w:r>
              <w:rPr>
                <w:rFonts w:hint="eastAsia"/>
                <w:lang w:val="en-US" w:eastAsia="zh-CN"/>
              </w:rPr>
              <w:t>平台</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屏幕：</w:t>
            </w:r>
            <w:r>
              <w:rPr>
                <w:rFonts w:hint="default" w:ascii="Arial" w:hAnsi="Arial" w:cs="Arial"/>
                <w:sz w:val="21"/>
                <w:szCs w:val="21"/>
                <w:lang w:val="en-US" w:eastAsia="zh-CN"/>
              </w:rPr>
              <w:t>≥</w:t>
            </w:r>
            <w:r>
              <w:rPr>
                <w:rFonts w:hint="eastAsia" w:asciiTheme="minorEastAsia" w:hAnsiTheme="minorEastAsia"/>
                <w:sz w:val="21"/>
                <w:szCs w:val="21"/>
                <w:lang w:val="en-US" w:eastAsia="zh-CN"/>
              </w:rPr>
              <w:t>10.95寸，分辨率</w:t>
            </w:r>
            <w:r>
              <w:rPr>
                <w:rFonts w:hint="default" w:ascii="Arial" w:hAnsi="Arial" w:cs="Arial"/>
                <w:sz w:val="21"/>
                <w:szCs w:val="21"/>
                <w:lang w:val="en-US" w:eastAsia="zh-CN"/>
              </w:rPr>
              <w:t>≥</w:t>
            </w:r>
            <w:r>
              <w:rPr>
                <w:rFonts w:hint="eastAsia" w:asciiTheme="minorEastAsia" w:hAnsiTheme="minorEastAsia"/>
                <w:sz w:val="21"/>
                <w:szCs w:val="21"/>
                <w:lang w:val="en-US" w:eastAsia="zh-CN"/>
              </w:rPr>
              <w:t>2560*1600 IPS屏</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CPU：核心数</w:t>
            </w:r>
            <w:r>
              <w:rPr>
                <w:rFonts w:hint="default" w:asciiTheme="minorEastAsia" w:hAnsiTheme="minorEastAsia"/>
                <w:sz w:val="21"/>
                <w:szCs w:val="21"/>
                <w:lang w:val="en-US" w:eastAsia="zh-CN"/>
              </w:rPr>
              <w:t>≥</w:t>
            </w:r>
            <w:r>
              <w:rPr>
                <w:rFonts w:hint="eastAsia" w:asciiTheme="minorEastAsia" w:hAnsiTheme="minorEastAsia"/>
                <w:sz w:val="21"/>
                <w:szCs w:val="21"/>
                <w:lang w:val="en-US" w:eastAsia="zh-CN"/>
              </w:rPr>
              <w:t>八核，</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内存：</w:t>
            </w:r>
            <w:r>
              <w:rPr>
                <w:rFonts w:hint="default" w:ascii="Arial" w:hAnsi="Arial" w:cs="Arial"/>
                <w:sz w:val="21"/>
                <w:szCs w:val="21"/>
                <w:lang w:val="en-US" w:eastAsia="zh-CN"/>
              </w:rPr>
              <w:t>≥</w:t>
            </w:r>
            <w:r>
              <w:rPr>
                <w:rFonts w:hint="eastAsia" w:asciiTheme="minorEastAsia" w:hAnsiTheme="minorEastAsia"/>
                <w:sz w:val="21"/>
                <w:szCs w:val="21"/>
                <w:lang w:val="en-US" w:eastAsia="zh-CN"/>
              </w:rPr>
              <w:t>8G</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存储：</w:t>
            </w:r>
            <w:r>
              <w:rPr>
                <w:rFonts w:hint="default" w:ascii="Arial" w:hAnsi="Arial" w:cs="Arial"/>
                <w:sz w:val="21"/>
                <w:szCs w:val="21"/>
                <w:lang w:val="en-US" w:eastAsia="zh-CN"/>
              </w:rPr>
              <w:t>≥</w:t>
            </w:r>
            <w:r>
              <w:rPr>
                <w:rFonts w:hint="eastAsia" w:asciiTheme="minorEastAsia" w:hAnsiTheme="minorEastAsia"/>
                <w:sz w:val="21"/>
                <w:szCs w:val="21"/>
                <w:lang w:val="en-US" w:eastAsia="zh-CN"/>
              </w:rPr>
              <w:t>256G</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网络：WIFI版，支持</w:t>
            </w:r>
            <w:r>
              <w:rPr>
                <w:rFonts w:ascii="Helvetica" w:hAnsi="Helvetica" w:eastAsia="Helvetica" w:cs="Helvetica"/>
                <w:i w:val="0"/>
                <w:iCs w:val="0"/>
                <w:caps w:val="0"/>
                <w:spacing w:val="0"/>
                <w:sz w:val="24"/>
                <w:szCs w:val="24"/>
                <w:shd w:val="clear" w:fill="FFFFFF"/>
              </w:rPr>
              <w:t>2.4GHz和5GHz</w:t>
            </w:r>
            <w:r>
              <w:rPr>
                <w:rFonts w:hint="eastAsia" w:ascii="Helvetica" w:hAnsi="Helvetica" w:eastAsia="宋体" w:cs="Helvetica"/>
                <w:i w:val="0"/>
                <w:iCs w:val="0"/>
                <w:caps w:val="0"/>
                <w:spacing w:val="0"/>
                <w:sz w:val="24"/>
                <w:szCs w:val="24"/>
                <w:shd w:val="clear" w:fill="FFFFFF"/>
                <w:lang w:eastAsia="zh-CN"/>
              </w:rPr>
              <w:t>，</w:t>
            </w:r>
            <w:r>
              <w:rPr>
                <w:rFonts w:hint="eastAsia" w:asciiTheme="minorEastAsia" w:hAnsiTheme="minorEastAsia"/>
                <w:sz w:val="21"/>
                <w:szCs w:val="21"/>
                <w:lang w:val="en-US" w:eastAsia="zh-CN"/>
              </w:rPr>
              <w:t>支持802.11a/b/g/n/ac/ax</w:t>
            </w:r>
          </w:p>
          <w:p>
            <w:pPr>
              <w:spacing w:line="240" w:lineRule="auto"/>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 w:val="21"/>
                <w:szCs w:val="21"/>
                <w:lang w:val="en-US" w:eastAsia="zh-CN"/>
              </w:rPr>
              <w:t>像素：前置：</w:t>
            </w:r>
            <w:r>
              <w:rPr>
                <w:rFonts w:hint="default" w:ascii="Arial" w:hAnsi="Arial" w:cs="Arial"/>
                <w:sz w:val="21"/>
                <w:szCs w:val="21"/>
                <w:lang w:val="en-US" w:eastAsia="zh-CN"/>
              </w:rPr>
              <w:t>≥</w:t>
            </w:r>
            <w:r>
              <w:rPr>
                <w:rFonts w:hint="eastAsia" w:asciiTheme="minorEastAsia" w:hAnsiTheme="minorEastAsia"/>
                <w:sz w:val="21"/>
                <w:szCs w:val="21"/>
                <w:lang w:val="en-US" w:eastAsia="zh-CN"/>
              </w:rPr>
              <w:t>800万像素，固定对焦；后置：</w:t>
            </w:r>
            <w:r>
              <w:rPr>
                <w:rFonts w:hint="default" w:ascii="Arial" w:hAnsi="Arial" w:cs="Arial"/>
                <w:sz w:val="21"/>
                <w:szCs w:val="21"/>
                <w:lang w:val="en-US" w:eastAsia="zh-CN"/>
              </w:rPr>
              <w:t>≥</w:t>
            </w:r>
            <w:r>
              <w:rPr>
                <w:rFonts w:hint="eastAsia" w:asciiTheme="minorEastAsia" w:hAnsiTheme="minorEastAsia"/>
                <w:sz w:val="21"/>
                <w:szCs w:val="21"/>
                <w:lang w:val="en-US" w:eastAsia="zh-CN"/>
              </w:rPr>
              <w:t>1300万像素，自动对焦像素，自动对焦</w:t>
            </w:r>
          </w:p>
        </w:tc>
      </w:tr>
    </w:tbl>
    <w:p>
      <w:pPr>
        <w:rPr>
          <w:rFonts w:hint="default"/>
          <w:lang w:val="en-US" w:eastAsia="zh-CN"/>
        </w:rPr>
      </w:pPr>
      <w:r>
        <w:rPr>
          <w:rFonts w:hint="default"/>
          <w:lang w:val="en-US" w:eastAsia="zh-CN"/>
        </w:rPr>
        <w:br w:type="page"/>
      </w:r>
    </w:p>
    <w:p>
      <w:pPr>
        <w:rPr>
          <w:rFonts w:hint="eastAsia"/>
          <w:lang w:val="en-US" w:eastAsia="zh-CN"/>
        </w:rPr>
      </w:pPr>
      <w:r>
        <w:rPr>
          <w:rFonts w:hint="eastAsia"/>
          <w:lang w:val="en-US" w:eastAsia="zh-CN"/>
        </w:rPr>
        <w:t>配套平板：</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44"/>
        <w:gridCol w:w="1275"/>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79" w:type="pct"/>
            <w:tcBorders>
              <w:insideH w:val="single" w:sz="8" w:space="0"/>
            </w:tcBorders>
            <w:noWrap/>
            <w:vAlign w:val="center"/>
          </w:tcPr>
          <w:p>
            <w:pPr>
              <w:spacing w:line="240" w:lineRule="auto"/>
              <w:jc w:val="center"/>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w:t>
            </w:r>
          </w:p>
        </w:tc>
        <w:tc>
          <w:tcPr>
            <w:tcW w:w="1082" w:type="pct"/>
            <w:tcBorders>
              <w:insideH w:val="single" w:sz="8" w:space="0"/>
              <w:insideV w:val="single" w:sz="8" w:space="0"/>
            </w:tcBorders>
            <w:noWrap/>
            <w:vAlign w:val="center"/>
          </w:tcPr>
          <w:p>
            <w:pPr>
              <w:spacing w:line="240" w:lineRule="auto"/>
              <w:jc w:val="center"/>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平板电脑</w:t>
            </w:r>
          </w:p>
        </w:tc>
        <w:tc>
          <w:tcPr>
            <w:tcW w:w="748" w:type="pct"/>
            <w:tcBorders>
              <w:insideH w:val="single" w:sz="8" w:space="0"/>
            </w:tcBorders>
            <w:noWrap/>
            <w:vAlign w:val="center"/>
          </w:tcPr>
          <w:p>
            <w:pPr>
              <w:spacing w:line="240" w:lineRule="auto"/>
              <w:jc w:val="center"/>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18台</w:t>
            </w:r>
          </w:p>
        </w:tc>
        <w:tc>
          <w:tcPr>
            <w:tcW w:w="2691" w:type="pct"/>
            <w:tcBorders>
              <w:insideH w:val="single" w:sz="8" w:space="0"/>
              <w:insideV w:val="single" w:sz="8" w:space="0"/>
            </w:tcBorders>
            <w:vAlign w:val="center"/>
          </w:tcPr>
          <w:p>
            <w:pPr>
              <w:spacing w:line="240" w:lineRule="auto"/>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系统：</w:t>
            </w:r>
            <w:r>
              <w:rPr>
                <w:rFonts w:hint="eastAsia"/>
              </w:rPr>
              <w:t>Android</w:t>
            </w:r>
            <w:r>
              <w:rPr>
                <w:rFonts w:hint="eastAsia"/>
                <w:lang w:val="en-US" w:eastAsia="zh-CN"/>
              </w:rPr>
              <w:t>平台</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屏幕：</w:t>
            </w:r>
            <w:r>
              <w:rPr>
                <w:rFonts w:hint="default" w:ascii="Arial" w:hAnsi="Arial" w:cs="Arial"/>
                <w:sz w:val="21"/>
                <w:szCs w:val="21"/>
                <w:lang w:val="en-US" w:eastAsia="zh-CN"/>
              </w:rPr>
              <w:t>≥</w:t>
            </w:r>
            <w:r>
              <w:rPr>
                <w:rFonts w:hint="eastAsia" w:asciiTheme="minorEastAsia" w:hAnsiTheme="minorEastAsia"/>
                <w:sz w:val="21"/>
                <w:szCs w:val="21"/>
                <w:lang w:val="en-US" w:eastAsia="zh-CN"/>
              </w:rPr>
              <w:t>10.95寸，分辨率</w:t>
            </w:r>
            <w:r>
              <w:rPr>
                <w:rFonts w:hint="default" w:ascii="Arial" w:hAnsi="Arial" w:cs="Arial"/>
                <w:sz w:val="21"/>
                <w:szCs w:val="21"/>
                <w:lang w:val="en-US" w:eastAsia="zh-CN"/>
              </w:rPr>
              <w:t>≥</w:t>
            </w:r>
            <w:r>
              <w:rPr>
                <w:rFonts w:hint="eastAsia" w:asciiTheme="minorEastAsia" w:hAnsiTheme="minorEastAsia"/>
                <w:sz w:val="21"/>
                <w:szCs w:val="21"/>
                <w:lang w:val="en-US" w:eastAsia="zh-CN"/>
              </w:rPr>
              <w:t>2560*1600 IPS屏</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CPU：核心数</w:t>
            </w:r>
            <w:r>
              <w:rPr>
                <w:rFonts w:hint="default" w:asciiTheme="minorEastAsia" w:hAnsiTheme="minorEastAsia"/>
                <w:sz w:val="21"/>
                <w:szCs w:val="21"/>
                <w:lang w:val="en-US" w:eastAsia="zh-CN"/>
              </w:rPr>
              <w:t>≥</w:t>
            </w:r>
            <w:r>
              <w:rPr>
                <w:rFonts w:hint="eastAsia" w:asciiTheme="minorEastAsia" w:hAnsiTheme="minorEastAsia"/>
                <w:sz w:val="21"/>
                <w:szCs w:val="21"/>
                <w:lang w:val="en-US" w:eastAsia="zh-CN"/>
              </w:rPr>
              <w:t>八核，</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内存：</w:t>
            </w:r>
            <w:r>
              <w:rPr>
                <w:rFonts w:hint="default" w:ascii="Arial" w:hAnsi="Arial" w:cs="Arial"/>
                <w:sz w:val="21"/>
                <w:szCs w:val="21"/>
                <w:lang w:val="en-US" w:eastAsia="zh-CN"/>
              </w:rPr>
              <w:t>≥</w:t>
            </w:r>
            <w:r>
              <w:rPr>
                <w:rFonts w:hint="eastAsia" w:asciiTheme="minorEastAsia" w:hAnsiTheme="minorEastAsia"/>
                <w:sz w:val="21"/>
                <w:szCs w:val="21"/>
                <w:lang w:val="en-US" w:eastAsia="zh-CN"/>
              </w:rPr>
              <w:t>8G</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存储：</w:t>
            </w:r>
            <w:r>
              <w:rPr>
                <w:rFonts w:hint="default" w:ascii="Arial" w:hAnsi="Arial" w:cs="Arial"/>
                <w:sz w:val="21"/>
                <w:szCs w:val="21"/>
                <w:lang w:val="en-US" w:eastAsia="zh-CN"/>
              </w:rPr>
              <w:t>≥</w:t>
            </w:r>
            <w:r>
              <w:rPr>
                <w:rFonts w:hint="eastAsia" w:asciiTheme="minorEastAsia" w:hAnsiTheme="minorEastAsia"/>
                <w:sz w:val="21"/>
                <w:szCs w:val="21"/>
                <w:lang w:val="en-US" w:eastAsia="zh-CN"/>
              </w:rPr>
              <w:t>256G</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网络：WIFI版，支持</w:t>
            </w:r>
            <w:r>
              <w:rPr>
                <w:rFonts w:ascii="Helvetica" w:hAnsi="Helvetica" w:eastAsia="Helvetica" w:cs="Helvetica"/>
                <w:i w:val="0"/>
                <w:iCs w:val="0"/>
                <w:caps w:val="0"/>
                <w:spacing w:val="0"/>
                <w:sz w:val="24"/>
                <w:szCs w:val="24"/>
                <w:shd w:val="clear" w:fill="FFFFFF"/>
              </w:rPr>
              <w:t>2.4GHz和5GHz</w:t>
            </w:r>
            <w:r>
              <w:rPr>
                <w:rFonts w:hint="eastAsia" w:ascii="Helvetica" w:hAnsi="Helvetica" w:eastAsia="宋体" w:cs="Helvetica"/>
                <w:i w:val="0"/>
                <w:iCs w:val="0"/>
                <w:caps w:val="0"/>
                <w:spacing w:val="0"/>
                <w:sz w:val="24"/>
                <w:szCs w:val="24"/>
                <w:shd w:val="clear" w:fill="FFFFFF"/>
                <w:lang w:eastAsia="zh-CN"/>
              </w:rPr>
              <w:t>，</w:t>
            </w:r>
            <w:r>
              <w:rPr>
                <w:rFonts w:hint="eastAsia" w:asciiTheme="minorEastAsia" w:hAnsiTheme="minorEastAsia"/>
                <w:sz w:val="21"/>
                <w:szCs w:val="21"/>
                <w:lang w:val="en-US" w:eastAsia="zh-CN"/>
              </w:rPr>
              <w:t>支持802.11a/b/g/n/ac/ax</w:t>
            </w:r>
          </w:p>
          <w:p>
            <w:pPr>
              <w:spacing w:line="240" w:lineRule="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像素：前置：</w:t>
            </w:r>
            <w:r>
              <w:rPr>
                <w:rFonts w:hint="default" w:ascii="Arial" w:hAnsi="Arial" w:cs="Arial"/>
                <w:sz w:val="21"/>
                <w:szCs w:val="21"/>
                <w:lang w:val="en-US" w:eastAsia="zh-CN"/>
              </w:rPr>
              <w:t>≥</w:t>
            </w:r>
            <w:r>
              <w:rPr>
                <w:rFonts w:hint="eastAsia" w:asciiTheme="minorEastAsia" w:hAnsiTheme="minorEastAsia"/>
                <w:sz w:val="21"/>
                <w:szCs w:val="21"/>
                <w:lang w:val="en-US" w:eastAsia="zh-CN"/>
              </w:rPr>
              <w:t>800万像素，固定对焦；后置：</w:t>
            </w:r>
            <w:r>
              <w:rPr>
                <w:rFonts w:hint="default" w:ascii="Arial" w:hAnsi="Arial" w:cs="Arial"/>
                <w:sz w:val="21"/>
                <w:szCs w:val="21"/>
                <w:lang w:val="en-US" w:eastAsia="zh-CN"/>
              </w:rPr>
              <w:t>≥</w:t>
            </w:r>
            <w:r>
              <w:rPr>
                <w:rFonts w:hint="eastAsia" w:asciiTheme="minorEastAsia" w:hAnsiTheme="minorEastAsia"/>
                <w:sz w:val="21"/>
                <w:szCs w:val="21"/>
                <w:lang w:val="en-US" w:eastAsia="zh-CN"/>
              </w:rPr>
              <w:t>1300万像素，自动对焦像素，自动对焦</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00000000"/>
    <w:rsid w:val="2DD27F2F"/>
    <w:rsid w:val="3618098B"/>
    <w:rsid w:val="3C192BA9"/>
    <w:rsid w:val="48501A3C"/>
    <w:rsid w:val="6C590470"/>
    <w:rsid w:val="7F4C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Arial" w:hAnsi="Arial" w:eastAsia="宋体" w:cs="Arial"/>
      <w:szCs w:val="24"/>
    </w:rPr>
  </w:style>
  <w:style w:type="paragraph" w:customStyle="1" w:styleId="5">
    <w:name w:val="表格2"/>
    <w:basedOn w:val="1"/>
    <w:qFormat/>
    <w:uiPriority w:val="0"/>
    <w:pPr>
      <w:adjustRightInd w:val="0"/>
      <w:snapToGrid w:val="0"/>
      <w:jc w:val="center"/>
    </w:pPr>
    <w:rPr>
      <w:rFonts w:cs="宋体" w:asciiTheme="minorEastAsia" w:hAnsiTheme="minorEastAsia"/>
      <w:bCs/>
      <w:color w:val="FFFFFF"/>
      <w:kern w:val="0"/>
      <w:sz w:val="24"/>
      <w:szCs w:val="24"/>
    </w:rPr>
  </w:style>
  <w:style w:type="table" w:customStyle="1" w:styleId="6">
    <w:name w:val="浅色列表 - 强调文字颜色 11"/>
    <w:basedOn w:val="2"/>
    <w:qFormat/>
    <w:uiPriority w:val="61"/>
    <w:rPr>
      <w:rFonts w:ascii="Calibri" w:hAnsi="Calibri" w:eastAsia="宋体" w:cs="Times New Roman"/>
      <w:kern w:val="0"/>
      <w:sz w:val="20"/>
      <w:szCs w:val="20"/>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pPr>
        <w:spacing w:before="0" w:after="0" w:line="240" w:lineRule="auto"/>
      </w:pPr>
      <w:rPr>
        <w:b/>
        <w:bCs/>
        <w:color w:val="FFFFFF" w:themeColor="background1"/>
        <w14:textFill>
          <w14:solidFill>
            <w14:schemeClr w14:val="bg1"/>
          </w14:solidFill>
        </w14:textFill>
      </w:rPr>
      <w:tcPr>
        <w:shd w:val="clear" w:color="auto" w:fill="4874CB" w:themeFill="accent1"/>
      </w:tcPr>
    </w:tblStylePr>
    <w:tblStylePr w:type="lastRow">
      <w:pPr>
        <w:spacing w:before="0" w:after="0" w:line="240" w:lineRule="auto"/>
      </w:pPr>
      <w:rPr>
        <w:b/>
        <w:bCs/>
      </w:r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paragraph" w:customStyle="1" w:styleId="7">
    <w:name w:val="2016正文"/>
    <w:basedOn w:val="1"/>
    <w:qFormat/>
    <w:uiPriority w:val="0"/>
    <w:pPr>
      <w:spacing w:line="360" w:lineRule="auto"/>
      <w:ind w:firstLine="200" w:firstLineChars="200"/>
    </w:pPr>
    <w:rPr>
      <w:rFonts w:eastAsia="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2023-12-04T06:57:00Z</dcterms:created>
  <dc:creator>Administrator</dc:creator>
  <cp:lastModifiedBy>WPS_1675046108</cp:lastModifiedBy>
  <dcterms:modified xsi:type="dcterms:W3CDTF">2023-12-13T02:04:15Z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D56D93667550456DB2846DD32C1927FC_12</vt:lpwstr>
  </property>
</Properties>
</file>