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广西壮族自治区南溪山医院</w:t>
      </w:r>
      <w:r>
        <w:rPr>
          <w:rFonts w:hint="eastAsia"/>
          <w:b/>
          <w:bCs/>
          <w:sz w:val="32"/>
          <w:szCs w:val="32"/>
        </w:rPr>
        <w:t>网络安全设备续保采购需求</w:t>
      </w:r>
    </w:p>
    <w:p>
      <w:pPr>
        <w:rPr>
          <w:rFonts w:hint="eastAsia" w:eastAsiaTheme="minorEastAsia"/>
          <w:lang w:val="en-US" w:eastAsia="zh-CN"/>
        </w:rPr>
      </w:pPr>
    </w:p>
    <w:p>
      <w:pPr>
        <w:ind w:firstLine="840" w:firstLineChars="300"/>
        <w:jc w:val="left"/>
        <w:rPr>
          <w:rFonts w:hint="default" w:eastAsiaTheme="minorEastAsia"/>
          <w:b w:val="0"/>
          <w:bCs w:val="0"/>
          <w:sz w:val="28"/>
          <w:szCs w:val="28"/>
          <w:lang w:val="en-US" w:eastAsia="zh-CN"/>
        </w:rPr>
      </w:pPr>
      <w:r>
        <w:rPr>
          <w:rFonts w:hint="eastAsia"/>
          <w:b w:val="0"/>
          <w:bCs w:val="0"/>
          <w:sz w:val="28"/>
          <w:szCs w:val="28"/>
          <w:lang w:val="en-US" w:eastAsia="zh-CN"/>
        </w:rPr>
        <w:t>网络安全需要，广西壮族自治区南溪山医院拟对以下维保准备到期的安全设备进行续保：</w:t>
      </w:r>
    </w:p>
    <w:p>
      <w:pPr>
        <w:pStyle w:val="2"/>
      </w:pPr>
    </w:p>
    <w:tbl>
      <w:tblPr>
        <w:tblStyle w:val="5"/>
        <w:tblW w:w="4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09"/>
        <w:gridCol w:w="4140"/>
        <w:gridCol w:w="930"/>
        <w:gridCol w:w="577"/>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15" w:type="pct"/>
            <w:shd w:val="clear" w:color="auto" w:fill="auto"/>
          </w:tcPr>
          <w:p>
            <w:pPr>
              <w:bidi w:val="0"/>
              <w:jc w:val="center"/>
              <w:rPr>
                <w:rFonts w:hint="eastAsia" w:ascii="宋体" w:hAnsi="宋体" w:eastAsia="宋体" w:cs="宋体"/>
                <w:sz w:val="21"/>
                <w:szCs w:val="21"/>
              </w:rPr>
            </w:pPr>
            <w:r>
              <w:rPr>
                <w:rFonts w:hint="eastAsia" w:ascii="宋体" w:hAnsi="宋体" w:eastAsia="宋体" w:cs="宋体"/>
                <w:sz w:val="21"/>
                <w:szCs w:val="21"/>
              </w:rPr>
              <w:t>序号</w:t>
            </w:r>
          </w:p>
        </w:tc>
        <w:tc>
          <w:tcPr>
            <w:tcW w:w="760" w:type="pct"/>
            <w:shd w:val="clear" w:color="auto" w:fill="auto"/>
          </w:tcPr>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p>
        </w:tc>
        <w:tc>
          <w:tcPr>
            <w:tcW w:w="2233" w:type="pct"/>
            <w:shd w:val="clear" w:color="auto" w:fill="auto"/>
          </w:tcPr>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技术服务内容</w:t>
            </w:r>
          </w:p>
        </w:tc>
        <w:tc>
          <w:tcPr>
            <w:tcW w:w="501" w:type="pct"/>
            <w:shd w:val="clear" w:color="auto" w:fill="auto"/>
          </w:tcPr>
          <w:p>
            <w:pPr>
              <w:bidi w:val="0"/>
              <w:jc w:val="center"/>
              <w:rPr>
                <w:rFonts w:hint="eastAsia" w:ascii="宋体" w:hAnsi="宋体" w:eastAsia="宋体" w:cs="宋体"/>
                <w:sz w:val="21"/>
                <w:szCs w:val="21"/>
              </w:rPr>
            </w:pPr>
            <w:r>
              <w:rPr>
                <w:rFonts w:hint="eastAsia" w:ascii="宋体" w:hAnsi="宋体" w:eastAsia="宋体" w:cs="宋体"/>
                <w:sz w:val="21"/>
                <w:szCs w:val="21"/>
              </w:rPr>
              <w:t>数量</w:t>
            </w:r>
          </w:p>
        </w:tc>
        <w:tc>
          <w:tcPr>
            <w:tcW w:w="311" w:type="pct"/>
            <w:shd w:val="clear" w:color="auto" w:fill="auto"/>
          </w:tcPr>
          <w:p>
            <w:pPr>
              <w:bidi w:val="0"/>
              <w:jc w:val="center"/>
              <w:rPr>
                <w:rFonts w:hint="eastAsia" w:ascii="宋体" w:hAnsi="宋体" w:eastAsia="宋体" w:cs="宋体"/>
                <w:sz w:val="21"/>
                <w:szCs w:val="21"/>
              </w:rPr>
            </w:pPr>
            <w:r>
              <w:rPr>
                <w:rFonts w:hint="eastAsia" w:ascii="宋体" w:hAnsi="宋体" w:eastAsia="宋体" w:cs="宋体"/>
                <w:sz w:val="21"/>
                <w:szCs w:val="21"/>
              </w:rPr>
              <w:t>单位</w:t>
            </w:r>
          </w:p>
        </w:tc>
        <w:tc>
          <w:tcPr>
            <w:tcW w:w="777" w:type="pct"/>
            <w:shd w:val="clear" w:color="auto" w:fill="auto"/>
          </w:tcPr>
          <w:p>
            <w:pPr>
              <w:bidi w:val="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415" w:type="pct"/>
            <w:tcBorders>
              <w:bottom w:val="single" w:color="auto" w:sz="4" w:space="0"/>
            </w:tcBorders>
            <w:shd w:val="clear" w:color="auto" w:fill="auto"/>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760"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防火墙</w:t>
            </w:r>
          </w:p>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网神网络安全管理系统NSG 5000</w:t>
            </w:r>
          </w:p>
        </w:tc>
        <w:tc>
          <w:tcPr>
            <w:tcW w:w="2233" w:type="pct"/>
            <w:tcBorders>
              <w:bottom w:val="single" w:color="auto" w:sz="4" w:space="0"/>
            </w:tcBorders>
            <w:shd w:val="clear" w:color="auto" w:fill="auto"/>
            <w:vAlign w:val="center"/>
          </w:tcPr>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1年全功能模块升级订阅服务包（含应用识别库、URL分类特征库、病毒防护特征库、入侵防御特征库升级服务及威胁情报订阅服务）</w:t>
            </w:r>
          </w:p>
        </w:tc>
        <w:tc>
          <w:tcPr>
            <w:tcW w:w="501"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1"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777" w:type="pct"/>
            <w:tcBorders>
              <w:bottom w:val="single" w:color="auto" w:sz="4" w:space="0"/>
            </w:tcBorders>
            <w:shd w:val="clear" w:color="auto" w:fill="auto"/>
            <w:vAlign w:val="center"/>
          </w:tcPr>
          <w:p>
            <w:pPr>
              <w:bidi w:val="0"/>
              <w:rPr>
                <w:rFonts w:hint="eastAsia" w:ascii="宋体" w:hAnsi="宋体" w:eastAsia="宋体" w:cs="宋体"/>
                <w:sz w:val="21"/>
                <w:szCs w:val="21"/>
              </w:rPr>
            </w:pPr>
            <w:r>
              <w:rPr>
                <w:rFonts w:hint="eastAsia" w:ascii="宋体" w:hAnsi="宋体" w:eastAsia="宋体" w:cs="宋体"/>
                <w:sz w:val="21"/>
                <w:szCs w:val="21"/>
              </w:rPr>
              <w:t>到期时间：2024-3-3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tcBorders>
              <w:bottom w:val="single" w:color="auto" w:sz="4" w:space="0"/>
            </w:tcBorders>
            <w:shd w:val="clear" w:color="auto" w:fill="auto"/>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60" w:type="pct"/>
            <w:shd w:val="clear" w:color="auto" w:fill="auto"/>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服务器安全管理系统</w:t>
            </w:r>
          </w:p>
        </w:tc>
        <w:tc>
          <w:tcPr>
            <w:tcW w:w="2233" w:type="pct"/>
            <w:tcBorders>
              <w:bottom w:val="single" w:color="auto" w:sz="4" w:space="0"/>
            </w:tcBorders>
            <w:shd w:val="clear" w:color="auto" w:fill="auto"/>
            <w:vAlign w:val="center"/>
          </w:tcPr>
          <w:p>
            <w:pPr>
              <w:bidi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提供服务器安全管理系统管理中心及客户端一年升级维保服务。提供基础监测与杀毒能力，提供主动防御系统防护等功能，包含病木马毒查杀、入侵检测维保服务，支持对终端系统漏洞发现、补丁修复等</w:t>
            </w:r>
          </w:p>
        </w:tc>
        <w:tc>
          <w:tcPr>
            <w:tcW w:w="501" w:type="pct"/>
            <w:tcBorders>
              <w:bottom w:val="single" w:color="auto" w:sz="4" w:space="0"/>
            </w:tcBorders>
            <w:shd w:val="clear" w:color="auto" w:fill="auto"/>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60个windows系统，</w:t>
            </w:r>
          </w:p>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20个linux系统</w:t>
            </w:r>
          </w:p>
        </w:tc>
        <w:tc>
          <w:tcPr>
            <w:tcW w:w="311" w:type="pct"/>
            <w:tcBorders>
              <w:bottom w:val="single" w:color="auto" w:sz="4" w:space="0"/>
            </w:tcBorders>
            <w:shd w:val="clear" w:color="auto" w:fill="auto"/>
            <w:vAlign w:val="center"/>
          </w:tcPr>
          <w:p>
            <w:pPr>
              <w:bidi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点</w:t>
            </w:r>
          </w:p>
        </w:tc>
        <w:tc>
          <w:tcPr>
            <w:tcW w:w="777" w:type="pct"/>
            <w:tcBorders>
              <w:bottom w:val="single" w:color="auto" w:sz="4" w:space="0"/>
            </w:tcBorders>
            <w:shd w:val="clear" w:color="auto" w:fill="auto"/>
            <w:vAlign w:val="center"/>
          </w:tcPr>
          <w:p>
            <w:pPr>
              <w:bidi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到期日期：</w:t>
            </w:r>
            <w:r>
              <w:rPr>
                <w:rFonts w:hint="eastAsia" w:ascii="宋体" w:hAnsi="宋体" w:eastAsia="宋体" w:cs="宋体"/>
                <w:color w:val="auto"/>
                <w:sz w:val="21"/>
                <w:szCs w:val="21"/>
                <w:highlight w:val="none"/>
              </w:rPr>
              <w:t>2024-10-10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60" w:type="pct"/>
            <w:shd w:val="clear" w:color="auto" w:fill="auto"/>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终端安全软件</w:t>
            </w:r>
          </w:p>
        </w:tc>
        <w:tc>
          <w:tcPr>
            <w:tcW w:w="2233" w:type="pct"/>
            <w:tcBorders>
              <w:bottom w:val="single" w:color="auto" w:sz="4" w:space="0"/>
            </w:tcBorders>
            <w:shd w:val="clear" w:color="auto" w:fill="auto"/>
            <w:vAlign w:val="center"/>
          </w:tcPr>
          <w:p>
            <w:pPr>
              <w:bidi w:val="0"/>
              <w:rPr>
                <w:rFonts w:hint="eastAsia" w:ascii="宋体" w:hAnsi="宋体" w:eastAsia="宋体" w:cs="宋体"/>
                <w:sz w:val="21"/>
                <w:szCs w:val="21"/>
              </w:rPr>
            </w:pPr>
            <w:r>
              <w:rPr>
                <w:rFonts w:hint="eastAsia" w:ascii="宋体" w:hAnsi="宋体" w:eastAsia="宋体" w:cs="宋体"/>
                <w:sz w:val="21"/>
                <w:szCs w:val="21"/>
                <w:lang w:val="en-US" w:eastAsia="zh-CN"/>
              </w:rPr>
              <w:t>含1年功能、病毒特征库更新服务。</w:t>
            </w:r>
          </w:p>
        </w:tc>
        <w:tc>
          <w:tcPr>
            <w:tcW w:w="501" w:type="pct"/>
            <w:tcBorders>
              <w:bottom w:val="single" w:color="auto" w:sz="4" w:space="0"/>
            </w:tcBorders>
            <w:shd w:val="clear" w:color="auto" w:fill="auto"/>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原1200个点维保，新增150个点</w:t>
            </w:r>
          </w:p>
        </w:tc>
        <w:tc>
          <w:tcPr>
            <w:tcW w:w="311"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777" w:type="pct"/>
            <w:tcBorders>
              <w:bottom w:val="single" w:color="auto" w:sz="4" w:space="0"/>
            </w:tcBorders>
            <w:shd w:val="clear" w:color="auto" w:fill="auto"/>
            <w:vAlign w:val="center"/>
          </w:tcPr>
          <w:p>
            <w:pPr>
              <w:bidi w:val="0"/>
              <w:rPr>
                <w:rFonts w:hint="eastAsia" w:ascii="宋体" w:hAnsi="宋体" w:eastAsia="宋体" w:cs="宋体"/>
                <w:sz w:val="21"/>
                <w:szCs w:val="21"/>
              </w:rPr>
            </w:pPr>
            <w:r>
              <w:rPr>
                <w:rFonts w:hint="eastAsia" w:ascii="宋体" w:hAnsi="宋体" w:eastAsia="宋体" w:cs="宋体"/>
                <w:sz w:val="21"/>
                <w:szCs w:val="21"/>
                <w:lang w:val="en-US" w:eastAsia="zh-CN"/>
              </w:rPr>
              <w:t>到期日期：</w:t>
            </w:r>
            <w:r>
              <w:rPr>
                <w:rFonts w:hint="eastAsia" w:ascii="宋体" w:hAnsi="宋体" w:eastAsia="宋体" w:cs="宋体"/>
                <w:sz w:val="21"/>
                <w:szCs w:val="21"/>
              </w:rPr>
              <w:t>2024-05-09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0" w:type="pct"/>
            <w:tcBorders>
              <w:bottom w:val="single" w:color="auto" w:sz="4" w:space="0"/>
            </w:tcBorders>
            <w:shd w:val="clear" w:color="auto" w:fill="auto"/>
            <w:vAlign w:val="center"/>
          </w:tcPr>
          <w:p>
            <w:pPr>
              <w:tabs>
                <w:tab w:val="left" w:pos="588"/>
              </w:tabs>
              <w:bidi w:val="0"/>
              <w:jc w:val="left"/>
              <w:rPr>
                <w:rFonts w:hint="default" w:ascii="宋体" w:hAnsi="宋体" w:eastAsia="宋体" w:cs="宋体"/>
                <w:sz w:val="21"/>
                <w:szCs w:val="21"/>
                <w:lang w:val="en-US" w:eastAsia="zh-CN"/>
              </w:rPr>
            </w:pPr>
            <w:r>
              <w:rPr>
                <w:rFonts w:hint="eastAsia" w:ascii="宋体" w:hAnsi="宋体" w:eastAsia="宋体" w:cs="宋体"/>
                <w:sz w:val="21"/>
                <w:szCs w:val="21"/>
                <w:lang w:eastAsia="zh-CN"/>
              </w:rPr>
              <w:t>互联网出口防火墙</w:t>
            </w:r>
            <w:r>
              <w:rPr>
                <w:rFonts w:hint="eastAsia" w:ascii="宋体" w:hAnsi="宋体" w:eastAsia="宋体" w:cs="宋体"/>
                <w:sz w:val="21"/>
                <w:szCs w:val="21"/>
                <w:lang w:val="en-US" w:eastAsia="zh-CN"/>
              </w:rPr>
              <w:t>-绿盟 NF-NX3 G4000L</w:t>
            </w:r>
          </w:p>
        </w:tc>
        <w:tc>
          <w:tcPr>
            <w:tcW w:w="2233" w:type="pct"/>
            <w:tcBorders>
              <w:bottom w:val="single" w:color="auto" w:sz="4" w:space="0"/>
            </w:tcBorders>
            <w:shd w:val="clear" w:color="auto" w:fill="auto"/>
            <w:vAlign w:val="center"/>
          </w:tcPr>
          <w:p>
            <w:pPr>
              <w:bidi w:val="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1年入侵防护特征库、应用特征库升级</w:t>
            </w:r>
            <w:bookmarkStart w:id="0" w:name="_GoBack"/>
            <w:bookmarkEnd w:id="0"/>
          </w:p>
        </w:tc>
        <w:tc>
          <w:tcPr>
            <w:tcW w:w="501" w:type="pct"/>
            <w:tcBorders>
              <w:bottom w:val="single" w:color="auto" w:sz="4" w:space="0"/>
            </w:tcBorders>
            <w:shd w:val="clear" w:color="auto" w:fill="auto"/>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311" w:type="pct"/>
            <w:tcBorders>
              <w:bottom w:val="single" w:color="auto" w:sz="4" w:space="0"/>
            </w:tcBorders>
            <w:shd w:val="clear" w:color="auto" w:fill="auto"/>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777" w:type="pct"/>
            <w:tcBorders>
              <w:bottom w:val="single" w:color="auto" w:sz="4" w:space="0"/>
            </w:tcBorders>
            <w:shd w:val="clear" w:color="auto" w:fill="auto"/>
            <w:vAlign w:val="center"/>
          </w:tcPr>
          <w:p>
            <w:pPr>
              <w:bidi w:val="0"/>
              <w:rPr>
                <w:rFonts w:hint="eastAsia" w:ascii="宋体" w:hAnsi="宋体" w:eastAsia="宋体" w:cs="宋体"/>
                <w:sz w:val="21"/>
                <w:szCs w:val="21"/>
              </w:rPr>
            </w:pPr>
            <w:r>
              <w:rPr>
                <w:rFonts w:hint="eastAsia" w:ascii="宋体" w:hAnsi="宋体" w:eastAsia="宋体" w:cs="宋体"/>
                <w:sz w:val="21"/>
                <w:szCs w:val="21"/>
                <w:lang w:val="en-US" w:eastAsia="zh-CN"/>
              </w:rPr>
              <w:t>到</w:t>
            </w:r>
            <w:r>
              <w:rPr>
                <w:rFonts w:hint="eastAsia" w:ascii="宋体" w:hAnsi="宋体" w:eastAsia="宋体" w:cs="宋体"/>
                <w:sz w:val="21"/>
                <w:szCs w:val="21"/>
              </w:rPr>
              <w:t>期时间：2024-2-3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5" w:type="pct"/>
            <w:tcBorders>
              <w:bottom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60" w:type="pct"/>
            <w:tcBorders>
              <w:bottom w:val="single" w:color="auto" w:sz="4" w:space="0"/>
            </w:tcBorders>
            <w:shd w:val="clear" w:color="auto" w:fill="auto"/>
            <w:vAlign w:val="center"/>
          </w:tcPr>
          <w:p>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上网行为管理-深信服AC-1000-E620-A4</w:t>
            </w:r>
          </w:p>
        </w:tc>
        <w:tc>
          <w:tcPr>
            <w:tcW w:w="2233" w:type="pct"/>
            <w:tcBorders>
              <w:bottom w:val="single" w:color="auto" w:sz="4" w:space="0"/>
            </w:tcBorders>
            <w:shd w:val="clear" w:color="auto" w:fill="auto"/>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1年应用识别&amp;URL库升级、软件升级</w:t>
            </w:r>
          </w:p>
        </w:tc>
        <w:tc>
          <w:tcPr>
            <w:tcW w:w="501" w:type="pct"/>
            <w:tcBorders>
              <w:bottom w:val="single" w:color="auto" w:sz="4" w:space="0"/>
            </w:tcBorders>
            <w:shd w:val="clear" w:color="auto" w:fill="auto"/>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311" w:type="pct"/>
            <w:tcBorders>
              <w:bottom w:val="single" w:color="auto" w:sz="4" w:space="0"/>
            </w:tcBorders>
            <w:shd w:val="clear" w:color="auto" w:fill="auto"/>
            <w:vAlign w:val="center"/>
          </w:tcPr>
          <w:p>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w:t>
            </w:r>
          </w:p>
        </w:tc>
        <w:tc>
          <w:tcPr>
            <w:tcW w:w="777" w:type="pct"/>
            <w:tcBorders>
              <w:bottom w:val="single" w:color="auto" w:sz="4" w:space="0"/>
            </w:tcBorders>
            <w:shd w:val="clear" w:color="auto" w:fill="auto"/>
            <w:vAlign w:val="center"/>
          </w:tcPr>
          <w:p>
            <w:pPr>
              <w:bidi w:val="0"/>
              <w:rPr>
                <w:rFonts w:hint="eastAsia" w:ascii="宋体" w:hAnsi="宋体" w:eastAsia="宋体" w:cs="宋体"/>
                <w:sz w:val="21"/>
                <w:szCs w:val="21"/>
              </w:rPr>
            </w:pPr>
            <w:r>
              <w:rPr>
                <w:rFonts w:hint="eastAsia" w:ascii="宋体" w:hAnsi="宋体" w:eastAsia="宋体" w:cs="宋体"/>
                <w:sz w:val="21"/>
                <w:szCs w:val="21"/>
                <w:lang w:val="en-US" w:eastAsia="zh-CN"/>
              </w:rPr>
              <w:t>到期日期</w:t>
            </w:r>
            <w:r>
              <w:rPr>
                <w:rFonts w:hint="eastAsia" w:ascii="宋体" w:hAnsi="宋体" w:eastAsia="宋体" w:cs="宋体"/>
                <w:sz w:val="21"/>
                <w:szCs w:val="21"/>
              </w:rPr>
              <w:t>2024-2-7</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7A565598"/>
    <w:rsid w:val="303A09CA"/>
    <w:rsid w:val="31A35666"/>
    <w:rsid w:val="4A0C2311"/>
    <w:rsid w:val="505E1269"/>
    <w:rsid w:val="5ACC0A3C"/>
    <w:rsid w:val="5D5575EC"/>
    <w:rsid w:val="68CB39A0"/>
    <w:rsid w:val="74CC6F2E"/>
    <w:rsid w:val="7A565598"/>
    <w:rsid w:val="7D3B0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网格型1"/>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2023-12-22T06:46:00Z</dcterms:created>
  <dc:creator>a1</dc:creator>
  <cp:lastModifiedBy>WPS_1675046108</cp:lastModifiedBy>
  <dcterms:modified xsi:type="dcterms:W3CDTF">2023-12-28T02:05:50Z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E7C9009298FA43339C8EB4E83D558555_13</vt:lpwstr>
  </property>
</Properties>
</file>