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华文仿宋" w:hAnsi="华文仿宋" w:eastAsia="华文仿宋" w:cs="Arial"/>
          <w:b/>
          <w:sz w:val="32"/>
          <w:szCs w:val="32"/>
        </w:rPr>
      </w:pPr>
      <w:r>
        <w:rPr>
          <w:rFonts w:ascii="华文仿宋" w:hAnsi="华文仿宋" w:eastAsia="华文仿宋" w:cs="Arial"/>
          <w:b/>
          <w:sz w:val="32"/>
          <w:szCs w:val="32"/>
        </w:rPr>
        <w:t>评分办法：</w:t>
      </w:r>
      <w:r>
        <w:rPr>
          <w:rFonts w:hint="eastAsia" w:ascii="华文仿宋" w:hAnsi="华文仿宋" w:eastAsia="华文仿宋" w:cs="Arial"/>
          <w:bCs/>
          <w:sz w:val="32"/>
          <w:szCs w:val="32"/>
        </w:rPr>
        <w:t>（总分100分）</w:t>
      </w:r>
    </w:p>
    <w:p>
      <w:pPr>
        <w:pStyle w:val="14"/>
        <w:ind w:firstLine="640" w:firstLineChars="200"/>
        <w:rPr>
          <w:rFonts w:ascii="华文仿宋" w:hAnsi="华文仿宋" w:eastAsia="华文仿宋" w:cs="Arial"/>
          <w:bCs/>
          <w:sz w:val="32"/>
          <w:szCs w:val="32"/>
        </w:rPr>
      </w:pPr>
      <w:r>
        <w:rPr>
          <w:rFonts w:hint="eastAsia" w:ascii="华文仿宋" w:hAnsi="华文仿宋" w:eastAsia="华文仿宋" w:cs="Arial"/>
          <w:bCs/>
          <w:sz w:val="32"/>
          <w:szCs w:val="32"/>
        </w:rPr>
        <w:t>本项目采用综合评分法。评审专家组对招标代理机构所递交的投标文件进行评审，具体按下列程序进行评审：</w:t>
      </w:r>
    </w:p>
    <w:p>
      <w:pPr>
        <w:pStyle w:val="14"/>
        <w:rPr>
          <w:rFonts w:ascii="华文仿宋" w:hAnsi="华文仿宋" w:eastAsia="华文仿宋" w:cs="Arial"/>
          <w:b/>
          <w:bCs/>
          <w:sz w:val="32"/>
          <w:szCs w:val="32"/>
        </w:rPr>
      </w:pPr>
      <w:r>
        <w:rPr>
          <w:rFonts w:hint="eastAsia" w:ascii="华文仿宋" w:hAnsi="华文仿宋" w:eastAsia="华文仿宋" w:cs="Arial"/>
          <w:b/>
          <w:bCs/>
          <w:sz w:val="32"/>
          <w:szCs w:val="32"/>
        </w:rPr>
        <w:t>第一步：初步评审</w:t>
      </w:r>
    </w:p>
    <w:p>
      <w:pPr>
        <w:pStyle w:val="14"/>
        <w:ind w:firstLine="640" w:firstLineChars="200"/>
        <w:rPr>
          <w:rFonts w:ascii="华文仿宋" w:hAnsi="华文仿宋" w:eastAsia="华文仿宋" w:cs="Arial"/>
          <w:bCs/>
          <w:sz w:val="32"/>
          <w:szCs w:val="32"/>
        </w:rPr>
      </w:pPr>
      <w:r>
        <w:rPr>
          <w:rFonts w:hint="eastAsia" w:ascii="华文仿宋" w:hAnsi="华文仿宋" w:eastAsia="华文仿宋" w:cs="Arial"/>
          <w:bCs/>
          <w:sz w:val="32"/>
          <w:szCs w:val="32"/>
        </w:rPr>
        <w:t>评审专家组对报名材料中的实质性要求条款进行审查，如报名人有其中任何一项不满足要求，则视为初步评审不合格，其报名被否决，不得进入下一步的详细评审。</w:t>
      </w:r>
    </w:p>
    <w:p>
      <w:pPr>
        <w:pStyle w:val="14"/>
        <w:rPr>
          <w:rFonts w:ascii="华文仿宋" w:hAnsi="华文仿宋" w:eastAsia="华文仿宋" w:cs="Arial"/>
          <w:b/>
          <w:bCs/>
          <w:sz w:val="32"/>
          <w:szCs w:val="32"/>
        </w:rPr>
      </w:pPr>
      <w:r>
        <w:rPr>
          <w:rFonts w:hint="eastAsia" w:ascii="华文仿宋" w:hAnsi="华文仿宋" w:eastAsia="华文仿宋" w:cs="Arial"/>
          <w:b/>
          <w:bCs/>
          <w:sz w:val="32"/>
          <w:szCs w:val="32"/>
        </w:rPr>
        <w:t>第二步：综合评分</w:t>
      </w:r>
    </w:p>
    <w:p>
      <w:pPr>
        <w:pStyle w:val="14"/>
        <w:ind w:firstLine="640" w:firstLineChars="200"/>
        <w:rPr>
          <w:rFonts w:ascii="华文仿宋" w:hAnsi="华文仿宋" w:eastAsia="华文仿宋" w:cs="Arial"/>
          <w:bCs/>
          <w:sz w:val="32"/>
          <w:szCs w:val="32"/>
        </w:rPr>
      </w:pPr>
      <w:r>
        <w:rPr>
          <w:rFonts w:hint="eastAsia" w:ascii="华文仿宋" w:hAnsi="华文仿宋" w:eastAsia="华文仿宋" w:cs="Arial"/>
          <w:bCs/>
          <w:sz w:val="32"/>
          <w:szCs w:val="32"/>
        </w:rPr>
        <w:t>对初步评审合格的招标代理机构采用百分制综合评分法进行评分，评分细则如下：</w:t>
      </w:r>
    </w:p>
    <w:p>
      <w:pPr>
        <w:pStyle w:val="14"/>
        <w:rPr>
          <w:rFonts w:ascii="华文仿宋" w:hAnsi="华文仿宋" w:eastAsia="华文仿宋" w:cs="Arial"/>
          <w:b/>
          <w:bCs/>
          <w:sz w:val="32"/>
          <w:szCs w:val="32"/>
        </w:rPr>
      </w:pPr>
      <w:r>
        <w:rPr>
          <w:rFonts w:hint="eastAsia" w:ascii="华文仿宋" w:hAnsi="华文仿宋" w:eastAsia="华文仿宋" w:cs="Arial"/>
          <w:b/>
          <w:bCs/>
          <w:sz w:val="32"/>
          <w:szCs w:val="32"/>
        </w:rPr>
        <w:t>1.价格分 （满分10分）</w:t>
      </w:r>
    </w:p>
    <w:p>
      <w:pPr>
        <w:pStyle w:val="14"/>
        <w:ind w:firstLine="640" w:firstLineChars="200"/>
        <w:rPr>
          <w:rFonts w:ascii="华文仿宋" w:hAnsi="华文仿宋" w:eastAsia="华文仿宋" w:cs="Arial"/>
          <w:bCs/>
          <w:sz w:val="32"/>
          <w:szCs w:val="32"/>
        </w:rPr>
      </w:pPr>
      <w:r>
        <w:rPr>
          <w:rFonts w:hint="eastAsia" w:ascii="华文仿宋" w:hAnsi="华文仿宋" w:eastAsia="华文仿宋" w:cs="Arial"/>
          <w:bCs/>
          <w:sz w:val="32"/>
          <w:szCs w:val="32"/>
        </w:rPr>
        <w:t>采购代理机构代理服务费的收取在遵守国家发展计划委员会《招标代理服务费管理暂行办法》（计价格（2002）1980号收费标准、《国家发展改革委关于降低部分建设项目收费标准规范收费行为等有关问题的通知》（发改价格[2011]534号）规定的基础上下浮收取，其中单位项目招标代理服务费低于人民币伍仟元（¥5000.00）按伍仟元（¥5000.00）收取。</w:t>
      </w:r>
    </w:p>
    <w:p>
      <w:pPr>
        <w:pStyle w:val="14"/>
        <w:ind w:firstLine="640" w:firstLineChars="200"/>
        <w:rPr>
          <w:rFonts w:ascii="华文仿宋" w:hAnsi="华文仿宋" w:eastAsia="华文仿宋" w:cs="Arial"/>
          <w:bCs/>
          <w:sz w:val="32"/>
          <w:szCs w:val="32"/>
        </w:rPr>
      </w:pPr>
      <w:r>
        <w:rPr>
          <w:rFonts w:hint="eastAsia" w:ascii="华文仿宋" w:hAnsi="华文仿宋" w:eastAsia="华文仿宋" w:cs="Arial"/>
          <w:bCs/>
          <w:sz w:val="32"/>
          <w:szCs w:val="32"/>
        </w:rPr>
        <w:t>各招标代理机构报出的价格下浮系数为d1、d2、d3……dn，对比各招标代理机构的下浮系数，下浮系数最大者为dmax，得满分10分。其他招标代理机构的价格分按以下公式计算：</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某招标代理机构的价格分=【（1-dmax）/（1-dn）】×10分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注：货物、服务类报价占价格分的50%，工程类报价占价格分的50%。代理费包含采购需求调查</w:t>
      </w:r>
      <w:r>
        <w:rPr>
          <w:rFonts w:hint="eastAsia" w:ascii="华文仿宋" w:hAnsi="华文仿宋" w:eastAsia="华文仿宋"/>
          <w:sz w:val="30"/>
          <w:szCs w:val="30"/>
        </w:rPr>
        <w:t>服务、编制采购实施计划及审查服务。达到公开招标金额的项目组织专家完成招标文件复核论证。</w:t>
      </w:r>
    </w:p>
    <w:p>
      <w:pPr>
        <w:pStyle w:val="14"/>
        <w:rPr>
          <w:rFonts w:ascii="华文仿宋" w:hAnsi="华文仿宋" w:eastAsia="华文仿宋" w:cs="Arial"/>
          <w:b/>
          <w:bCs/>
          <w:sz w:val="32"/>
          <w:szCs w:val="32"/>
        </w:rPr>
      </w:pPr>
      <w:r>
        <w:rPr>
          <w:rFonts w:hint="eastAsia" w:ascii="华文仿宋" w:hAnsi="华文仿宋" w:eastAsia="华文仿宋" w:cs="Arial"/>
          <w:b/>
          <w:bCs/>
          <w:sz w:val="32"/>
          <w:szCs w:val="32"/>
        </w:rPr>
        <w:t>2.服务工作方案及程序（满分18分）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（1）采购工作方案（满分9分）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一档（3分 ）：对医院采购工作了解一般，采购工作目标、工作内容等有简单认识和简单方案；</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二档（6分 ）：对医院采购情况有一定认识，对采购工作目标、工作内容等有较好的认识，工作方案较为具体可行，能满足医院采购需求；</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三档（9分）：对医院采购管理、流程有深入理解，经验丰富，能提供具体针对性方案，有关认识和措施非常详细和到位，重点、难点突出，服务优势明显，完全能满足医院采购需求。</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（2）采购需求管理实施方案及审查方案（满分9分）：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一档（3分 ）：对项目采购需求管理及审查特点理解缺乏准确性和全面性，有实施方案；</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二档（6分 ）：对采购需求管理及审查特点理解较全面、准确的，有粗略的实施方案；</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三档（9分）：对采购需求管理及审查特点理解全面、准确，有详细的实施方案。</w:t>
      </w:r>
    </w:p>
    <w:p>
      <w:pPr>
        <w:pStyle w:val="14"/>
        <w:rPr>
          <w:rFonts w:ascii="华文仿宋" w:hAnsi="华文仿宋" w:eastAsia="华文仿宋" w:cs="Arial"/>
          <w:b/>
          <w:bCs/>
          <w:sz w:val="32"/>
          <w:szCs w:val="32"/>
        </w:rPr>
      </w:pPr>
      <w:r>
        <w:rPr>
          <w:rFonts w:hint="eastAsia" w:ascii="华文仿宋" w:hAnsi="华文仿宋" w:eastAsia="华文仿宋" w:cs="Arial"/>
          <w:b/>
          <w:bCs/>
          <w:sz w:val="32"/>
          <w:szCs w:val="32"/>
        </w:rPr>
        <w:t>3.服务承诺、廉政廉洁承诺（满分10分）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（1） 服务承诺分（满分5分）：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一档（1分）：有服务承诺，基本内容具备，基本满足服务要求；</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二档（3分）：服务承诺具体，服务保障较好，能满足服务需要；</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三档（5分）：服务承诺具体，服务保障措施全面可行，完全满足服务需要。</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（2）廉政廉洁承诺（满分5分）：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一档（1分 ）：有廉政管理措施及制度，基本能满足服务需求；</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二档（3分 ）：较为具体的廉政管理措施及制度，能满足服务需求；</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三档（5分）：廉政廉洁管理措施和制度健全，保障措施全面可行，举措较优，较好满足服务需求。</w:t>
      </w:r>
    </w:p>
    <w:p>
      <w:pPr>
        <w:pStyle w:val="14"/>
        <w:rPr>
          <w:rFonts w:ascii="华文仿宋" w:hAnsi="华文仿宋" w:eastAsia="华文仿宋" w:cs="Arial"/>
          <w:b/>
          <w:bCs/>
          <w:sz w:val="32"/>
          <w:szCs w:val="32"/>
        </w:rPr>
      </w:pPr>
      <w:r>
        <w:rPr>
          <w:rFonts w:hint="eastAsia" w:ascii="华文仿宋" w:hAnsi="华文仿宋" w:eastAsia="华文仿宋" w:cs="Arial"/>
          <w:b/>
          <w:bCs/>
          <w:sz w:val="32"/>
          <w:szCs w:val="32"/>
        </w:rPr>
        <w:t>4.专业能力构成分（满分27分）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（1）办公场地情况分（满分10分）</w:t>
      </w:r>
    </w:p>
    <w:p>
      <w:pPr>
        <w:pStyle w:val="14"/>
        <w:rPr>
          <w:rFonts w:hint="eastAsia" w:ascii="华文仿宋" w:hAnsi="华文仿宋" w:eastAsia="华文仿宋" w:cs="Arial"/>
          <w:bCs/>
          <w:sz w:val="32"/>
          <w:szCs w:val="32"/>
        </w:rPr>
      </w:pPr>
      <w:r>
        <w:rPr>
          <w:rFonts w:hint="eastAsia" w:ascii="华文仿宋" w:hAnsi="华文仿宋" w:eastAsia="华文仿宋" w:cs="Arial"/>
          <w:bCs/>
          <w:sz w:val="32"/>
          <w:szCs w:val="32"/>
          <w:lang w:eastAsia="zh-CN"/>
        </w:rPr>
        <w:t>①</w:t>
      </w:r>
      <w:r>
        <w:rPr>
          <w:rFonts w:hint="eastAsia" w:ascii="华文仿宋" w:hAnsi="华文仿宋" w:eastAsia="华文仿宋" w:cs="Arial"/>
          <w:bCs/>
          <w:sz w:val="32"/>
          <w:szCs w:val="32"/>
        </w:rPr>
        <w:t>招标代理机构</w:t>
      </w:r>
      <w:r>
        <w:rPr>
          <w:rFonts w:hint="eastAsia" w:ascii="华文仿宋" w:hAnsi="华文仿宋" w:eastAsia="华文仿宋" w:cs="Arial"/>
          <w:bCs/>
          <w:sz w:val="32"/>
          <w:szCs w:val="32"/>
          <w:lang w:eastAsia="zh-CN"/>
        </w:rPr>
        <w:t>在采购人所在地</w:t>
      </w:r>
      <w:r>
        <w:rPr>
          <w:rFonts w:hint="eastAsia" w:ascii="华文仿宋" w:hAnsi="华文仿宋" w:eastAsia="华文仿宋" w:cs="Arial"/>
          <w:bCs/>
          <w:sz w:val="32"/>
          <w:szCs w:val="32"/>
        </w:rPr>
        <w:t>每拥有1间开标室得1分，满分为</w:t>
      </w:r>
      <w:r>
        <w:rPr>
          <w:rFonts w:hint="eastAsia" w:ascii="华文仿宋" w:hAnsi="华文仿宋" w:eastAsia="华文仿宋" w:cs="Arial"/>
          <w:bCs/>
          <w:sz w:val="32"/>
          <w:szCs w:val="32"/>
          <w:lang w:val="en-US" w:eastAsia="zh-CN"/>
        </w:rPr>
        <w:t>2</w:t>
      </w:r>
      <w:r>
        <w:rPr>
          <w:rFonts w:hint="eastAsia" w:ascii="华文仿宋" w:hAnsi="华文仿宋" w:eastAsia="华文仿宋" w:cs="Arial"/>
          <w:bCs/>
          <w:sz w:val="32"/>
          <w:szCs w:val="32"/>
        </w:rPr>
        <w:t>分，每拥有1间评标室得1分，满分为</w:t>
      </w:r>
      <w:r>
        <w:rPr>
          <w:rFonts w:hint="eastAsia" w:ascii="华文仿宋" w:hAnsi="华文仿宋" w:eastAsia="华文仿宋" w:cs="Arial"/>
          <w:bCs/>
          <w:sz w:val="32"/>
          <w:szCs w:val="32"/>
          <w:lang w:val="en-US" w:eastAsia="zh-CN"/>
        </w:rPr>
        <w:t>3</w:t>
      </w:r>
      <w:r>
        <w:rPr>
          <w:rFonts w:hint="eastAsia" w:ascii="华文仿宋" w:hAnsi="华文仿宋" w:eastAsia="华文仿宋" w:cs="Arial"/>
          <w:bCs/>
          <w:sz w:val="32"/>
          <w:szCs w:val="32"/>
        </w:rPr>
        <w:t>分。</w:t>
      </w:r>
    </w:p>
    <w:p>
      <w:pPr>
        <w:pStyle w:val="14"/>
        <w:rPr>
          <w:rFonts w:hint="eastAsia" w:ascii="华文仿宋" w:hAnsi="华文仿宋" w:eastAsia="华文仿宋" w:cs="Arial"/>
          <w:bCs/>
          <w:sz w:val="32"/>
          <w:szCs w:val="32"/>
        </w:rPr>
      </w:pPr>
      <w:r>
        <w:rPr>
          <w:rFonts w:hint="eastAsia" w:ascii="华文仿宋" w:hAnsi="华文仿宋" w:eastAsia="华文仿宋" w:cs="Arial"/>
          <w:bCs/>
          <w:sz w:val="32"/>
          <w:szCs w:val="32"/>
        </w:rPr>
        <w:t>开标室和评标室均必须满足政府采购要求，配置有音频视频电子监控设备，评标室具备评标全过程现场传递监控图像及语音通话条件，实现对开标评标全过程录像录音，并可以刻录存档，不满足条件不得分。提供相关图片作为证明材料。</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lang w:eastAsia="zh-CN"/>
        </w:rPr>
        <w:t>②</w:t>
      </w:r>
      <w:r>
        <w:rPr>
          <w:rFonts w:hint="eastAsia" w:ascii="华文仿宋" w:hAnsi="华文仿宋" w:eastAsia="华文仿宋" w:cs="Arial"/>
          <w:bCs/>
          <w:sz w:val="32"/>
          <w:szCs w:val="32"/>
        </w:rPr>
        <w:t>在采购人所在地市的服务办公场所达到150平方米(以磋商响应时为准)的得</w:t>
      </w:r>
      <w:r>
        <w:rPr>
          <w:rFonts w:hint="eastAsia" w:ascii="华文仿宋" w:hAnsi="华文仿宋" w:eastAsia="华文仿宋" w:cs="Arial"/>
          <w:bCs/>
          <w:sz w:val="32"/>
          <w:szCs w:val="32"/>
          <w:lang w:val="en-US" w:eastAsia="zh-CN"/>
        </w:rPr>
        <w:t>1</w:t>
      </w:r>
      <w:r>
        <w:rPr>
          <w:rFonts w:hint="eastAsia" w:ascii="华文仿宋" w:hAnsi="华文仿宋" w:eastAsia="华文仿宋" w:cs="Arial"/>
          <w:bCs/>
          <w:sz w:val="32"/>
          <w:szCs w:val="32"/>
        </w:rPr>
        <w:t>分，每增加100平方米加1分，最多加2分</w:t>
      </w:r>
      <w:r>
        <w:rPr>
          <w:rFonts w:hint="eastAsia" w:ascii="华文仿宋" w:hAnsi="华文仿宋" w:eastAsia="华文仿宋" w:cs="Arial"/>
          <w:bCs/>
          <w:sz w:val="32"/>
          <w:szCs w:val="32"/>
          <w:lang w:eastAsia="zh-CN"/>
        </w:rPr>
        <w:t>，满分</w:t>
      </w:r>
      <w:r>
        <w:rPr>
          <w:rFonts w:hint="eastAsia" w:ascii="华文仿宋" w:hAnsi="华文仿宋" w:eastAsia="华文仿宋" w:cs="Arial"/>
          <w:bCs/>
          <w:sz w:val="32"/>
          <w:szCs w:val="32"/>
          <w:lang w:val="en-US" w:eastAsia="zh-CN"/>
        </w:rPr>
        <w:t>3分</w:t>
      </w:r>
      <w:r>
        <w:rPr>
          <w:rFonts w:hint="eastAsia" w:ascii="华文仿宋" w:hAnsi="华文仿宋" w:eastAsia="华文仿宋" w:cs="Arial"/>
          <w:bCs/>
          <w:sz w:val="32"/>
          <w:szCs w:val="32"/>
          <w:lang w:eastAsia="zh-CN"/>
        </w:rPr>
        <w:t>。</w:t>
      </w:r>
      <w:r>
        <w:rPr>
          <w:rFonts w:hint="eastAsia" w:ascii="华文仿宋" w:hAnsi="华文仿宋" w:eastAsia="华文仿宋" w:cs="Arial"/>
          <w:bCs/>
          <w:sz w:val="32"/>
          <w:szCs w:val="32"/>
        </w:rPr>
        <w:t xml:space="preserve">(以租赁合同、房产证等有效证明材料复印件为准) </w:t>
      </w:r>
      <w:r>
        <w:rPr>
          <w:rFonts w:hint="eastAsia" w:ascii="华文仿宋" w:hAnsi="华文仿宋" w:eastAsia="华文仿宋" w:cs="Arial"/>
          <w:bCs/>
          <w:sz w:val="32"/>
          <w:szCs w:val="32"/>
          <w:lang w:eastAsia="zh-CN"/>
        </w:rPr>
        <w:t>。</w:t>
      </w:r>
      <w:r>
        <w:rPr>
          <w:rFonts w:hint="eastAsia" w:ascii="华文仿宋" w:hAnsi="华文仿宋" w:eastAsia="华文仿宋" w:cs="Arial"/>
          <w:bCs/>
          <w:sz w:val="32"/>
          <w:szCs w:val="32"/>
        </w:rPr>
        <w:t>设有独立档案室，档案室面积不少于40平方米的，得2分。(以房产证或者其他有效证明材料复印件为准)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（2）网上招投标系统平台、专家库管理平台（满分2分）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招标代理机构具有无纸化招标文件售卖平台的得1分，具有专家库管理平台的得1分。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（3）拟投入项目人员情况（15分）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一档（5分）：拟投入项目团队配置及人员职责分工一般，项目团队人数不少于10人，其中具备中级职称3人及以下，招标师3人及以下。</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二档（10分）：拟投入项目团队配置合理，项目团队人数不少于15人，其中具备高级职称不少于4人，中级职称不少于4人，招标师不少于4人。</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三档（15分）：拟投入项目团队配置科学合理、人员职责分工明确，项目团队人数不少于20人，其中具备高级职称不少于8人，中级职称不少于8人，同时具备招标师不少于8人。 （提供上述人员近1个月社保缴纳凭证，证书复印件）</w:t>
      </w:r>
    </w:p>
    <w:p>
      <w:pPr>
        <w:pStyle w:val="14"/>
        <w:rPr>
          <w:rFonts w:ascii="华文仿宋" w:hAnsi="华文仿宋" w:eastAsia="华文仿宋" w:cs="Arial"/>
          <w:b/>
          <w:bCs/>
          <w:sz w:val="32"/>
          <w:szCs w:val="32"/>
        </w:rPr>
      </w:pPr>
      <w:r>
        <w:rPr>
          <w:rFonts w:hint="eastAsia" w:ascii="华文仿宋" w:hAnsi="华文仿宋" w:eastAsia="华文仿宋" w:cs="Arial"/>
          <w:b/>
          <w:bCs/>
          <w:sz w:val="32"/>
          <w:szCs w:val="32"/>
        </w:rPr>
        <w:t>5.信誉业绩分（满分35分）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（1）招标代理机构拥有质量管理体系认证证书（简称ISO9001）得1分；（提供有效期内的认证证书复印件，否则不得分）；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（2）20</w:t>
      </w:r>
      <w:r>
        <w:rPr>
          <w:rFonts w:hint="eastAsia" w:ascii="华文仿宋" w:hAnsi="华文仿宋" w:eastAsia="华文仿宋" w:cs="Arial"/>
          <w:bCs/>
          <w:sz w:val="32"/>
          <w:szCs w:val="32"/>
          <w:lang w:val="en-US" w:eastAsia="zh-CN"/>
        </w:rPr>
        <w:t>21</w:t>
      </w:r>
      <w:bookmarkStart w:id="0" w:name="_GoBack"/>
      <w:bookmarkEnd w:id="0"/>
      <w:r>
        <w:rPr>
          <w:rFonts w:hint="eastAsia" w:ascii="华文仿宋" w:hAnsi="华文仿宋" w:eastAsia="华文仿宋" w:cs="Arial"/>
          <w:bCs/>
          <w:sz w:val="32"/>
          <w:szCs w:val="32"/>
        </w:rPr>
        <w:t>年以来获得省级及以上与招标代理类奖励证书的，1项得0.5分，满分3分（提供奖励证书复印件，否则不得分）；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（3）业绩（考核期为20</w:t>
      </w:r>
      <w:r>
        <w:rPr>
          <w:rFonts w:hint="eastAsia" w:ascii="华文仿宋" w:hAnsi="华文仿宋" w:eastAsia="华文仿宋" w:cs="Arial"/>
          <w:bCs/>
          <w:sz w:val="32"/>
          <w:szCs w:val="32"/>
          <w:lang w:val="en-US" w:eastAsia="zh-CN"/>
        </w:rPr>
        <w:t>21</w:t>
      </w:r>
      <w:r>
        <w:rPr>
          <w:rFonts w:hint="eastAsia" w:ascii="华文仿宋" w:hAnsi="华文仿宋" w:eastAsia="华文仿宋" w:cs="Arial"/>
          <w:bCs/>
          <w:sz w:val="32"/>
          <w:szCs w:val="32"/>
        </w:rPr>
        <w:t>年至202</w:t>
      </w:r>
      <w:r>
        <w:rPr>
          <w:rFonts w:hint="eastAsia" w:ascii="华文仿宋" w:hAnsi="华文仿宋" w:eastAsia="华文仿宋" w:cs="Arial"/>
          <w:bCs/>
          <w:sz w:val="32"/>
          <w:szCs w:val="32"/>
          <w:lang w:val="en-US" w:eastAsia="zh-CN"/>
        </w:rPr>
        <w:t>3</w:t>
      </w:r>
      <w:r>
        <w:rPr>
          <w:rFonts w:hint="eastAsia" w:ascii="华文仿宋" w:hAnsi="华文仿宋" w:eastAsia="华文仿宋" w:cs="Arial"/>
          <w:bCs/>
          <w:sz w:val="32"/>
          <w:szCs w:val="32"/>
        </w:rPr>
        <w:t>年），提供中标通知书复印件，原件备查）满分25分：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货物类：满分5分；代理单个项目采购中标金额1000-5000万元（含1000万元）项目业绩，每个项目得0.2分，该项满分1分；5000-10000万元（含5000万元）项目业绩，每个项目得0.5分，该项满分2分；10000万元（含10000万元）以上的每个项目得0.5分，，该项满分2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服务类：满分5分；代理单个项目采购中标金额 500-1000万元（含500万元）项目业绩，每个项目得0.5分，该项满分2分；代理单个项目采购中标金额1000万元（含1000万元）以上的每个项目得0.5分，该项满分3分。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工程类：满分5分；代理单个项目采购中标金额5000-10000万元（含5000万元）项目业绩，每个项目得0.2分，该项满分1分；10000-15000万元（含10000万元）项目业绩，每个项目得0.5分，该项满分2分；15000万元（含15000万元）以上的每个项目得0.5分，该项满分2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工程总承包类（EPC）：满分5分，代理单个项目采购中标金额20000-30000万元（含20000万元）的每个项目得0.5分，该项满分2分；30000万元（30000万元）以上的每个项目得1分，该项满分3分。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综合医疗类：满分5分；代理单个医疗类项目采购中标金额500-1000万元（含500万元）项目业绩，每个项目得0.5分，该项满分2分；代理单个医疗类项目采购中标金额1000万元（含1000万元）以上的每个项目得0.5分，该项满分3分。</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注：1、以上工程类采购代理项目与工程总承包（EPC）项目不得重复。</w:t>
      </w:r>
    </w:p>
    <w:p>
      <w:pPr>
        <w:pStyle w:val="14"/>
        <w:rPr>
          <w:rFonts w:ascii="华文仿宋" w:hAnsi="华文仿宋" w:eastAsia="华文仿宋" w:cs="Arial"/>
          <w:bCs/>
          <w:sz w:val="32"/>
          <w:szCs w:val="32"/>
        </w:rPr>
      </w:pPr>
      <w:r>
        <w:rPr>
          <w:rFonts w:hint="eastAsia" w:ascii="华文仿宋" w:hAnsi="华文仿宋" w:eastAsia="华文仿宋" w:cs="Arial"/>
          <w:bCs/>
          <w:sz w:val="32"/>
          <w:szCs w:val="32"/>
        </w:rPr>
        <w:t> 2、以上综合医疗类采购代理项目与工程类、工程总承包类（EPC）项目不得重复。</w:t>
      </w:r>
    </w:p>
    <w:p>
      <w:pPr>
        <w:pStyle w:val="14"/>
        <w:rPr>
          <w:rFonts w:hint="eastAsia" w:ascii="华文仿宋" w:hAnsi="华文仿宋" w:eastAsia="华文仿宋" w:cs="Arial"/>
          <w:bCs/>
          <w:sz w:val="32"/>
          <w:szCs w:val="32"/>
        </w:rPr>
      </w:pPr>
      <w:r>
        <w:rPr>
          <w:rFonts w:hint="eastAsia" w:ascii="华文仿宋" w:hAnsi="华文仿宋" w:eastAsia="华文仿宋" w:cs="Arial"/>
          <w:bCs/>
          <w:sz w:val="32"/>
          <w:szCs w:val="32"/>
        </w:rPr>
        <w:t>（4） 具有《机电产品国际招标电子交易凭证》资格的得1分</w:t>
      </w:r>
    </w:p>
    <w:p>
      <w:pPr>
        <w:pStyle w:val="14"/>
        <w:rPr>
          <w:rFonts w:hint="eastAsia" w:ascii="华文仿宋" w:hAnsi="华文仿宋" w:eastAsia="华文仿宋" w:cs="Arial"/>
          <w:bCs/>
          <w:sz w:val="32"/>
          <w:szCs w:val="32"/>
        </w:rPr>
      </w:pPr>
      <w:r>
        <w:rPr>
          <w:rFonts w:hint="eastAsia" w:ascii="华文仿宋" w:hAnsi="华文仿宋" w:eastAsia="华文仿宋" w:cs="Arial"/>
          <w:bCs/>
          <w:sz w:val="32"/>
          <w:szCs w:val="32"/>
        </w:rPr>
        <w:t>（5）投标人获得目前还在协议有效期内的国家机关、事业单位定点招标代理资格的，每个得1分，满分5分（提供协议复印件，否则不得分）。</w:t>
      </w:r>
    </w:p>
    <w:p>
      <w:pPr>
        <w:pStyle w:val="14"/>
        <w:rPr>
          <w:rFonts w:ascii="华文仿宋" w:hAnsi="华文仿宋" w:eastAsia="华文仿宋" w:cs="Arial"/>
          <w:b/>
          <w:bCs/>
          <w:sz w:val="32"/>
          <w:szCs w:val="32"/>
        </w:rPr>
      </w:pPr>
      <w:r>
        <w:rPr>
          <w:rFonts w:hint="eastAsia" w:ascii="华文仿宋" w:hAnsi="华文仿宋" w:eastAsia="华文仿宋" w:cs="Arial"/>
          <w:b/>
          <w:bCs/>
          <w:sz w:val="32"/>
          <w:szCs w:val="32"/>
        </w:rPr>
        <w:t>总得分=1+2+3+4+5（满分100分）</w:t>
      </w:r>
    </w:p>
    <w:p>
      <w:pPr>
        <w:pStyle w:val="14"/>
        <w:rPr>
          <w:rFonts w:ascii="华文仿宋" w:hAnsi="华文仿宋" w:eastAsia="华文仿宋" w:cs="Arial"/>
          <w:b/>
          <w:bCs/>
          <w:sz w:val="28"/>
          <w:szCs w:val="28"/>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5695"/>
    <w:rsid w:val="000229B9"/>
    <w:rsid w:val="00031057"/>
    <w:rsid w:val="000633E3"/>
    <w:rsid w:val="000D39FE"/>
    <w:rsid w:val="000F0ED4"/>
    <w:rsid w:val="0014121E"/>
    <w:rsid w:val="00156AF9"/>
    <w:rsid w:val="0020521C"/>
    <w:rsid w:val="00315DD5"/>
    <w:rsid w:val="00321525"/>
    <w:rsid w:val="00335633"/>
    <w:rsid w:val="0034724C"/>
    <w:rsid w:val="003A63C2"/>
    <w:rsid w:val="003D7AF2"/>
    <w:rsid w:val="004B0053"/>
    <w:rsid w:val="004B1433"/>
    <w:rsid w:val="004B5CE6"/>
    <w:rsid w:val="004D2F31"/>
    <w:rsid w:val="004E5522"/>
    <w:rsid w:val="005E544B"/>
    <w:rsid w:val="00602620"/>
    <w:rsid w:val="00622567"/>
    <w:rsid w:val="006B48A1"/>
    <w:rsid w:val="006D67F4"/>
    <w:rsid w:val="006F5ABB"/>
    <w:rsid w:val="00747950"/>
    <w:rsid w:val="00771740"/>
    <w:rsid w:val="0079456A"/>
    <w:rsid w:val="00823B04"/>
    <w:rsid w:val="0085760B"/>
    <w:rsid w:val="008C4737"/>
    <w:rsid w:val="008E3694"/>
    <w:rsid w:val="00930238"/>
    <w:rsid w:val="009B5E59"/>
    <w:rsid w:val="009C1310"/>
    <w:rsid w:val="00A029A7"/>
    <w:rsid w:val="00A244CF"/>
    <w:rsid w:val="00A35115"/>
    <w:rsid w:val="00A4505A"/>
    <w:rsid w:val="00B032FE"/>
    <w:rsid w:val="00B17C6B"/>
    <w:rsid w:val="00B24F0C"/>
    <w:rsid w:val="00B55695"/>
    <w:rsid w:val="00B7088A"/>
    <w:rsid w:val="00B90AB4"/>
    <w:rsid w:val="00BA5410"/>
    <w:rsid w:val="00C01EEC"/>
    <w:rsid w:val="00C37648"/>
    <w:rsid w:val="00D2320E"/>
    <w:rsid w:val="00D356DC"/>
    <w:rsid w:val="00D624A2"/>
    <w:rsid w:val="00DB25AF"/>
    <w:rsid w:val="00DE4F2D"/>
    <w:rsid w:val="00E448CD"/>
    <w:rsid w:val="00E57673"/>
    <w:rsid w:val="00E70F34"/>
    <w:rsid w:val="00EA71B8"/>
    <w:rsid w:val="00EC7C78"/>
    <w:rsid w:val="00EF09C0"/>
    <w:rsid w:val="00EF4579"/>
    <w:rsid w:val="00EF4CDA"/>
    <w:rsid w:val="00F268C7"/>
    <w:rsid w:val="00F461DE"/>
    <w:rsid w:val="00F712CB"/>
    <w:rsid w:val="016A6A7B"/>
    <w:rsid w:val="02AA0975"/>
    <w:rsid w:val="06775625"/>
    <w:rsid w:val="10087CB3"/>
    <w:rsid w:val="11A56FEA"/>
    <w:rsid w:val="2193338F"/>
    <w:rsid w:val="22B0792E"/>
    <w:rsid w:val="241A0109"/>
    <w:rsid w:val="2D1F49B1"/>
    <w:rsid w:val="2D86330F"/>
    <w:rsid w:val="3F7B0758"/>
    <w:rsid w:val="3F98315C"/>
    <w:rsid w:val="47766E8A"/>
    <w:rsid w:val="51FE5218"/>
    <w:rsid w:val="56580064"/>
    <w:rsid w:val="5FDE53D8"/>
    <w:rsid w:val="6C4556E2"/>
    <w:rsid w:val="706D6679"/>
    <w:rsid w:val="710238D5"/>
    <w:rsid w:val="74B80718"/>
    <w:rsid w:val="7849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4"/>
    <w:basedOn w:val="1"/>
    <w:next w:val="1"/>
    <w:qFormat/>
    <w:uiPriority w:val="0"/>
    <w:pPr>
      <w:keepNext/>
      <w:spacing w:before="240" w:after="60"/>
      <w:outlineLvl w:val="3"/>
    </w:pPr>
    <w:rPr>
      <w:b/>
      <w:bCs/>
      <w:sz w:val="28"/>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index 8"/>
    <w:basedOn w:val="1"/>
    <w:next w:val="1"/>
    <w:qFormat/>
    <w:uiPriority w:val="0"/>
    <w:pPr>
      <w:ind w:left="2940"/>
    </w:pPr>
  </w:style>
  <w:style w:type="paragraph" w:styleId="6">
    <w:name w:val="annotation text"/>
    <w:basedOn w:val="1"/>
    <w:qFormat/>
    <w:uiPriority w:val="0"/>
    <w:pPr>
      <w:jc w:val="left"/>
    </w:pPr>
  </w:style>
  <w:style w:type="paragraph" w:styleId="7">
    <w:name w:val="Plain Text"/>
    <w:basedOn w:val="1"/>
    <w:next w:val="4"/>
    <w:uiPriority w:val="99"/>
    <w:rPr>
      <w:rFonts w:ascii="宋体" w:hAnsi="Courier New" w:cs="Courier New"/>
      <w:szCs w:val="21"/>
    </w:rPr>
  </w:style>
  <w:style w:type="paragraph" w:styleId="8">
    <w:name w:val="Balloon Text"/>
    <w:basedOn w:val="1"/>
    <w:link w:val="18"/>
    <w:uiPriority w:val="0"/>
    <w:rPr>
      <w:sz w:val="18"/>
      <w:szCs w:val="18"/>
    </w:rPr>
  </w:style>
  <w:style w:type="paragraph" w:styleId="9">
    <w:name w:val="footer"/>
    <w:basedOn w:val="1"/>
    <w:link w:val="17"/>
    <w:uiPriority w:val="0"/>
    <w:pPr>
      <w:tabs>
        <w:tab w:val="center" w:pos="4153"/>
        <w:tab w:val="right" w:pos="8306"/>
      </w:tabs>
      <w:snapToGrid w:val="0"/>
      <w:jc w:val="left"/>
    </w:pPr>
    <w:rPr>
      <w:sz w:val="18"/>
      <w:szCs w:val="18"/>
    </w:rPr>
  </w:style>
  <w:style w:type="paragraph" w:styleId="10">
    <w:name w:val="header"/>
    <w:basedOn w:val="1"/>
    <w:link w:val="16"/>
    <w:uiPriority w:val="0"/>
    <w:pPr>
      <w:pBdr>
        <w:bottom w:val="single" w:color="auto" w:sz="6" w:space="1"/>
      </w:pBdr>
      <w:tabs>
        <w:tab w:val="center" w:pos="4153"/>
        <w:tab w:val="right" w:pos="8306"/>
      </w:tabs>
      <w:snapToGrid w:val="0"/>
      <w:jc w:val="center"/>
    </w:pPr>
    <w:rPr>
      <w:sz w:val="18"/>
      <w:szCs w:val="18"/>
    </w:rPr>
  </w:style>
  <w:style w:type="character" w:styleId="13">
    <w:name w:val="annotation reference"/>
    <w:basedOn w:val="12"/>
    <w:uiPriority w:val="0"/>
    <w:rPr>
      <w:sz w:val="21"/>
      <w:szCs w:val="21"/>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Paragraph"/>
    <w:basedOn w:val="1"/>
    <w:qFormat/>
    <w:uiPriority w:val="34"/>
    <w:pPr>
      <w:ind w:firstLine="420" w:firstLineChars="200"/>
    </w:pPr>
    <w:rPr>
      <w:szCs w:val="22"/>
    </w:rPr>
  </w:style>
  <w:style w:type="character" w:customStyle="1" w:styleId="16">
    <w:name w:val="页眉 Char"/>
    <w:basedOn w:val="12"/>
    <w:link w:val="10"/>
    <w:uiPriority w:val="0"/>
    <w:rPr>
      <w:rFonts w:ascii="Calibri" w:hAnsi="Calibri" w:eastAsia="宋体" w:cs="Times New Roman"/>
      <w:kern w:val="2"/>
      <w:sz w:val="18"/>
      <w:szCs w:val="18"/>
    </w:rPr>
  </w:style>
  <w:style w:type="character" w:customStyle="1" w:styleId="17">
    <w:name w:val="页脚 Char"/>
    <w:basedOn w:val="12"/>
    <w:link w:val="9"/>
    <w:qFormat/>
    <w:uiPriority w:val="0"/>
    <w:rPr>
      <w:rFonts w:ascii="Calibri" w:hAnsi="Calibri" w:eastAsia="宋体" w:cs="Times New Roman"/>
      <w:kern w:val="2"/>
      <w:sz w:val="18"/>
      <w:szCs w:val="18"/>
    </w:rPr>
  </w:style>
  <w:style w:type="character" w:customStyle="1" w:styleId="18">
    <w:name w:val="批注框文本 Char"/>
    <w:basedOn w:val="12"/>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61100-F624-4E1C-AB8C-03B8E1DFDEA5}">
  <ds:schemaRefs/>
</ds:datastoreItem>
</file>

<file path=docProps/app.xml><?xml version="1.0" encoding="utf-8"?>
<Properties xmlns="http://schemas.openxmlformats.org/officeDocument/2006/extended-properties" xmlns:vt="http://schemas.openxmlformats.org/officeDocument/2006/docPropsVTypes">
  <Template>Normal</Template>
  <Pages>6</Pages>
  <Words>405</Words>
  <Characters>2309</Characters>
  <Lines>19</Lines>
  <Paragraphs>5</Paragraphs>
  <TotalTime>3</TotalTime>
  <ScaleCrop>false</ScaleCrop>
  <LinksUpToDate>false</LinksUpToDate>
  <CharactersWithSpaces>2709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2021-08-18T10:04:00Z</dcterms:created>
  <dc:creator>Administrator</dc:creator>
  <cp:lastModifiedBy>张凯</cp:lastModifiedBy>
  <dcterms:modified xsi:type="dcterms:W3CDTF">2024-01-04T02:57:38Z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00B492BDF630415D9DE8B8A14F77AE39</vt:lpwstr>
  </property>
</Properties>
</file>