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设备名称：心脏临时起搏器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4041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1.有可重复使用的连接线，长度1.8米以上，有可重复使用的过桥线，长度3.6米以上。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2.起搏模式：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AAI，AOO，VVI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，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VOO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，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DDD，DDI，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DOO，RAP等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3.起搏频率：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30-200ppm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4.输出幅度：心房：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 xml:space="preserve">0.1-20mA; 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心室：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0.1-25mA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5.灵敏度：心房：0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 xml:space="preserve">-10mV, ASYNC; 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心室：0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-20mV, ASYNC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 xml:space="preserve">6. 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AV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延迟：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20-300ms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7.屏幕显示参数：心率、心房输出、心室输出、模式、电池状态等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8.大小：高20cm左右、宽10cm左右、重量1kg左右。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9.电池：碱性电池，常规情况下可以使用7天以上。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10.连接线可方便插拔，以便术中可以随时快速起搏、紧急起搏。</w:t>
      </w:r>
    </w:p>
    <w:p>
      <w:pPr>
        <w:widowControl/>
        <w:jc w:val="left"/>
        <w:textAlignment w:val="center"/>
        <w:rPr>
          <w:b/>
          <w:kern w:val="0"/>
          <w:sz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11.屏幕锁功能，避免误操作。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C6C3C0B"/>
    <w:rsid w:val="0E463ABF"/>
    <w:rsid w:val="12E82E96"/>
    <w:rsid w:val="1379278A"/>
    <w:rsid w:val="22723DE8"/>
    <w:rsid w:val="230852A0"/>
    <w:rsid w:val="24757C48"/>
    <w:rsid w:val="26C01E86"/>
    <w:rsid w:val="2A8C0727"/>
    <w:rsid w:val="2D446048"/>
    <w:rsid w:val="2E2319FE"/>
    <w:rsid w:val="2E83225E"/>
    <w:rsid w:val="33462D44"/>
    <w:rsid w:val="36FF4265"/>
    <w:rsid w:val="395F289E"/>
    <w:rsid w:val="3CFA7DFE"/>
    <w:rsid w:val="40E8526E"/>
    <w:rsid w:val="41A64D43"/>
    <w:rsid w:val="443A1C83"/>
    <w:rsid w:val="44E34970"/>
    <w:rsid w:val="47AA2BDE"/>
    <w:rsid w:val="4B9E5088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2024-03-11T03:53:19Z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