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color w:val="auto"/>
        </w:rPr>
      </w:pPr>
      <w:r>
        <w:rPr>
          <w:rFonts w:hint="eastAsia"/>
          <w:b/>
          <w:bCs/>
          <w:color w:val="auto"/>
        </w:rPr>
        <w:t>后勤物资供应链</w:t>
      </w:r>
      <w:r>
        <w:rPr>
          <w:rFonts w:hint="eastAsia"/>
          <w:b/>
          <w:bCs/>
          <w:color w:val="auto"/>
          <w:lang w:eastAsia="zh-CN"/>
        </w:rPr>
        <w:t>服务</w:t>
      </w:r>
      <w:r>
        <w:rPr>
          <w:rFonts w:hint="eastAsia"/>
          <w:b/>
          <w:bCs/>
          <w:color w:val="auto"/>
        </w:rPr>
        <w:t>需求</w:t>
      </w:r>
    </w:p>
    <w:p>
      <w:pPr>
        <w:jc w:val="center"/>
        <w:rPr>
          <w:color w:val="auto"/>
        </w:rPr>
      </w:pPr>
    </w:p>
    <w:p>
      <w:pPr>
        <w:spacing w:line="400" w:lineRule="exact"/>
        <w:jc w:val="left"/>
        <w:rPr>
          <w:rFonts w:ascii="Arial" w:hAnsi="Arial" w:cs="Arial"/>
          <w:b/>
          <w:bCs/>
          <w:color w:val="auto"/>
          <w:szCs w:val="21"/>
          <w:highlight w:val="none"/>
        </w:rPr>
      </w:pPr>
      <w:r>
        <w:rPr>
          <w:rFonts w:ascii="Arial" w:hAnsi="Arial" w:cs="Arial"/>
          <w:b/>
          <w:bCs/>
          <w:color w:val="auto"/>
          <w:szCs w:val="21"/>
          <w:highlight w:val="none"/>
        </w:rPr>
        <w:t>一、</w:t>
      </w:r>
      <w:r>
        <w:rPr>
          <w:rFonts w:ascii="Arial" w:hAnsi="Arial" w:cs="Arial"/>
          <w:b/>
          <w:color w:val="auto"/>
          <w:szCs w:val="21"/>
          <w:highlight w:val="none"/>
        </w:rPr>
        <w:t>医院后勤物资供应链</w:t>
      </w:r>
      <w:r>
        <w:rPr>
          <w:rFonts w:ascii="Arial" w:hAnsi="Arial" w:cs="Arial"/>
          <w:b/>
          <w:bCs/>
          <w:color w:val="auto"/>
          <w:szCs w:val="21"/>
          <w:highlight w:val="none"/>
        </w:rPr>
        <w:t>管理服务，具体要求如下</w:t>
      </w:r>
    </w:p>
    <w:p>
      <w:pPr>
        <w:spacing w:line="400" w:lineRule="exact"/>
        <w:jc w:val="left"/>
        <w:rPr>
          <w:rFonts w:ascii="Arial" w:hAnsi="Arial" w:cs="Arial"/>
          <w:color w:val="auto"/>
          <w:szCs w:val="21"/>
          <w:highlight w:val="none"/>
        </w:rPr>
      </w:pPr>
      <w:r>
        <w:rPr>
          <w:rFonts w:ascii="Arial" w:hAnsi="Arial" w:cs="Arial"/>
          <w:color w:val="auto"/>
          <w:szCs w:val="21"/>
          <w:highlight w:val="none"/>
        </w:rPr>
        <w:t>（1）供应商具有</w:t>
      </w:r>
      <w:r>
        <w:rPr>
          <w:rFonts w:ascii="Arial" w:hAnsi="Arial" w:cs="Arial"/>
          <w:color w:val="auto"/>
          <w:szCs w:val="21"/>
          <w:highlight w:val="none"/>
          <w:u w:val="none"/>
        </w:rPr>
        <w:t>桂林</w:t>
      </w:r>
      <w:r>
        <w:rPr>
          <w:rFonts w:ascii="Arial" w:hAnsi="Arial" w:cs="Arial"/>
          <w:color w:val="auto"/>
          <w:szCs w:val="21"/>
          <w:highlight w:val="none"/>
        </w:rPr>
        <w:t>市区内配送网络以及多仓储覆盖，医院取消原有后勤物资</w:t>
      </w:r>
      <w:r>
        <w:rPr>
          <w:rFonts w:ascii="Arial" w:hAnsi="Arial" w:cs="Arial"/>
          <w:bCs/>
          <w:color w:val="auto"/>
          <w:szCs w:val="21"/>
          <w:highlight w:val="none"/>
        </w:rPr>
        <w:t>管理</w:t>
      </w:r>
      <w:r>
        <w:rPr>
          <w:rFonts w:ascii="Arial" w:hAnsi="Arial" w:cs="Arial"/>
          <w:color w:val="auto"/>
          <w:szCs w:val="21"/>
          <w:highlight w:val="none"/>
        </w:rPr>
        <w:t>仓库及资金囤积；供应商可在桂林市区周边地区迅速调拨，多仓协同配送，仓库地址路线与医院距离小于20公里。中心仓库建立安全库存，通过安全库存的上下限管理等策略在不缺货的前提下，进行多频次及时配送，自动补货；减少物流节点，提高物流效率；</w:t>
      </w:r>
    </w:p>
    <w:p>
      <w:pPr>
        <w:spacing w:line="400" w:lineRule="exact"/>
        <w:rPr>
          <w:rFonts w:hint="eastAsia" w:ascii="Arial" w:hAnsi="Arial" w:eastAsia="宋体" w:cs="Arial"/>
          <w:color w:val="auto"/>
          <w:spacing w:val="8"/>
          <w:kern w:val="0"/>
          <w:szCs w:val="21"/>
          <w:highlight w:val="none"/>
          <w:lang w:eastAsia="zh-CN"/>
        </w:rPr>
      </w:pPr>
      <w:r>
        <w:rPr>
          <w:rFonts w:ascii="Arial" w:hAnsi="Arial" w:cs="Arial"/>
          <w:color w:val="auto"/>
          <w:szCs w:val="21"/>
          <w:highlight w:val="none"/>
        </w:rPr>
        <w:t>（2）医院后勤物资均由供应商进行供应，</w:t>
      </w:r>
      <w:r>
        <w:rPr>
          <w:rFonts w:ascii="Arial" w:hAnsi="Arial" w:cs="Arial"/>
          <w:color w:val="auto"/>
          <w:szCs w:val="21"/>
          <w:highlight w:val="none"/>
          <w:shd w:val="clear" w:color="auto" w:fill="FFFFFF"/>
        </w:rPr>
        <w:t>主要包括</w:t>
      </w:r>
      <w:r>
        <w:rPr>
          <w:rFonts w:hint="eastAsia" w:ascii="宋体" w:hAnsi="宋体" w:cs="宋体"/>
          <w:color w:val="auto"/>
          <w:szCs w:val="21"/>
          <w:highlight w:val="none"/>
        </w:rPr>
        <w:t>为医院提供办公用品类、办公耗材类、日杂用品类、五金水电、劳保用品类、家用电器类、办公家具类等物资的采购</w:t>
      </w:r>
      <w:r>
        <w:rPr>
          <w:rFonts w:ascii="Arial" w:hAnsi="Arial" w:cs="Arial"/>
          <w:color w:val="auto"/>
          <w:szCs w:val="21"/>
          <w:highlight w:val="none"/>
          <w:shd w:val="clear" w:color="auto" w:fill="FFFFFF"/>
        </w:rPr>
        <w:t>（</w:t>
      </w:r>
      <w:r>
        <w:rPr>
          <w:rFonts w:ascii="Arial" w:hAnsi="Arial" w:cs="Arial"/>
          <w:color w:val="auto"/>
          <w:szCs w:val="21"/>
          <w:highlight w:val="none"/>
        </w:rPr>
        <w:t>详见</w:t>
      </w:r>
      <w:r>
        <w:rPr>
          <w:rFonts w:hint="eastAsia" w:ascii="Arial" w:hAnsi="Arial" w:cs="Arial"/>
          <w:color w:val="auto"/>
          <w:szCs w:val="21"/>
          <w:highlight w:val="none"/>
          <w:lang w:val="en-US" w:eastAsia="zh-CN"/>
        </w:rPr>
        <w:t>附件《后勤</w:t>
      </w:r>
      <w:r>
        <w:rPr>
          <w:rFonts w:ascii="Arial" w:hAnsi="Arial" w:cs="Arial"/>
          <w:color w:val="auto"/>
          <w:szCs w:val="21"/>
          <w:highlight w:val="none"/>
        </w:rPr>
        <w:t>物资清单</w:t>
      </w:r>
      <w:r>
        <w:rPr>
          <w:rFonts w:hint="eastAsia" w:ascii="Arial" w:hAnsi="Arial" w:cs="Arial"/>
          <w:color w:val="auto"/>
          <w:szCs w:val="21"/>
          <w:highlight w:val="none"/>
          <w:lang w:eastAsia="zh-CN"/>
        </w:rPr>
        <w:t>》</w:t>
      </w:r>
      <w:r>
        <w:rPr>
          <w:rFonts w:ascii="Arial" w:hAnsi="Arial" w:cs="Arial"/>
          <w:color w:val="auto"/>
          <w:szCs w:val="21"/>
          <w:highlight w:val="none"/>
        </w:rPr>
        <w:t>）</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《后勤</w:t>
      </w:r>
      <w:r>
        <w:rPr>
          <w:rFonts w:ascii="Arial" w:hAnsi="Arial" w:cs="Arial"/>
          <w:color w:val="auto"/>
          <w:szCs w:val="21"/>
          <w:highlight w:val="none"/>
        </w:rPr>
        <w:t>物资清单</w:t>
      </w:r>
      <w:r>
        <w:rPr>
          <w:rFonts w:hint="eastAsia" w:ascii="Arial" w:hAnsi="Arial" w:cs="Arial"/>
          <w:color w:val="auto"/>
          <w:szCs w:val="21"/>
          <w:highlight w:val="none"/>
          <w:lang w:eastAsia="zh-CN"/>
        </w:rPr>
        <w:t>》仅</w:t>
      </w:r>
      <w:r>
        <w:rPr>
          <w:rFonts w:hint="eastAsia" w:ascii="Arial" w:hAnsi="Arial" w:cs="Arial"/>
          <w:color w:val="auto"/>
          <w:szCs w:val="21"/>
          <w:highlight w:val="none"/>
          <w:lang w:val="en-US" w:eastAsia="zh-CN"/>
        </w:rPr>
        <w:t>作为报价</w:t>
      </w:r>
      <w:r>
        <w:rPr>
          <w:rFonts w:hint="eastAsia" w:ascii="Arial" w:hAnsi="Arial" w:cs="Arial"/>
          <w:color w:val="auto"/>
          <w:szCs w:val="21"/>
          <w:highlight w:val="none"/>
          <w:lang w:eastAsia="zh-CN"/>
        </w:rPr>
        <w:t>人报价时的数量依据与评</w:t>
      </w:r>
      <w:r>
        <w:rPr>
          <w:rFonts w:hint="eastAsia" w:ascii="Arial" w:hAnsi="Arial" w:cs="Arial"/>
          <w:color w:val="auto"/>
          <w:szCs w:val="21"/>
          <w:highlight w:val="none"/>
          <w:lang w:val="en-US" w:eastAsia="zh-CN"/>
        </w:rPr>
        <w:t>审</w:t>
      </w:r>
      <w:r>
        <w:rPr>
          <w:rFonts w:hint="eastAsia" w:ascii="Arial" w:hAnsi="Arial" w:cs="Arial"/>
          <w:color w:val="auto"/>
          <w:szCs w:val="21"/>
          <w:highlight w:val="none"/>
          <w:lang w:eastAsia="zh-CN"/>
        </w:rPr>
        <w:t>价</w:t>
      </w:r>
      <w:r>
        <w:rPr>
          <w:rFonts w:hint="eastAsia" w:ascii="Arial" w:hAnsi="Arial" w:cs="Arial"/>
          <w:color w:val="auto"/>
          <w:szCs w:val="21"/>
          <w:highlight w:val="none"/>
          <w:lang w:val="en-US" w:eastAsia="zh-CN"/>
        </w:rPr>
        <w:t>的</w:t>
      </w:r>
      <w:r>
        <w:rPr>
          <w:rFonts w:hint="eastAsia" w:ascii="Arial" w:hAnsi="Arial" w:cs="Arial"/>
          <w:color w:val="auto"/>
          <w:szCs w:val="21"/>
          <w:highlight w:val="none"/>
          <w:lang w:eastAsia="zh-CN"/>
        </w:rPr>
        <w:t>参考，</w:t>
      </w:r>
      <w:r>
        <w:rPr>
          <w:rFonts w:ascii="Arial" w:hAnsi="Arial" w:cs="Arial"/>
          <w:color w:val="auto"/>
          <w:szCs w:val="21"/>
          <w:highlight w:val="none"/>
        </w:rPr>
        <w:t>具体供货时采购人有权根据其需要增加或减少需要</w:t>
      </w:r>
      <w:r>
        <w:rPr>
          <w:rFonts w:hint="eastAsia" w:ascii="Arial" w:hAnsi="Arial" w:cs="Arial"/>
          <w:color w:val="auto"/>
          <w:szCs w:val="21"/>
          <w:highlight w:val="none"/>
          <w:lang w:val="en-US" w:eastAsia="zh-CN"/>
        </w:rPr>
        <w:t>成交</w:t>
      </w:r>
      <w:r>
        <w:rPr>
          <w:rFonts w:ascii="Arial" w:hAnsi="Arial" w:cs="Arial"/>
          <w:color w:val="auto"/>
          <w:szCs w:val="21"/>
          <w:highlight w:val="none"/>
        </w:rPr>
        <w:t>供应商供货的品目（价格双方协商）。</w:t>
      </w:r>
      <w:r>
        <w:rPr>
          <w:rFonts w:hint="eastAsia" w:ascii="Arial" w:hAnsi="Arial" w:cs="Arial"/>
          <w:color w:val="auto"/>
          <w:szCs w:val="21"/>
          <w:highlight w:val="none"/>
          <w:lang w:eastAsia="zh-CN"/>
        </w:rPr>
        <w:t>如国家或广西政府采购政策调整，采购人有权取消</w:t>
      </w:r>
      <w:r>
        <w:rPr>
          <w:rFonts w:hint="eastAsia" w:ascii="Arial" w:hAnsi="Arial" w:cs="Arial"/>
          <w:color w:val="auto"/>
          <w:szCs w:val="21"/>
          <w:highlight w:val="none"/>
          <w:lang w:val="en-US" w:eastAsia="zh-CN"/>
        </w:rPr>
        <w:t>《后勤</w:t>
      </w:r>
      <w:r>
        <w:rPr>
          <w:rFonts w:ascii="Arial" w:hAnsi="Arial" w:cs="Arial"/>
          <w:color w:val="auto"/>
          <w:szCs w:val="21"/>
          <w:highlight w:val="none"/>
        </w:rPr>
        <w:t>物资清单</w:t>
      </w:r>
      <w:r>
        <w:rPr>
          <w:rFonts w:hint="eastAsia" w:ascii="Arial" w:hAnsi="Arial" w:cs="Arial"/>
          <w:color w:val="auto"/>
          <w:szCs w:val="21"/>
          <w:highlight w:val="none"/>
          <w:lang w:eastAsia="zh-CN"/>
        </w:rPr>
        <w:t>》内相关品目商品。</w:t>
      </w:r>
      <w:r>
        <w:rPr>
          <w:rFonts w:ascii="Arial" w:hAnsi="Arial" w:cs="Arial"/>
          <w:color w:val="auto"/>
          <w:szCs w:val="21"/>
          <w:highlight w:val="none"/>
        </w:rPr>
        <w:t>签订合同后，</w:t>
      </w:r>
      <w:r>
        <w:rPr>
          <w:rFonts w:hint="eastAsia" w:ascii="Arial" w:hAnsi="Arial" w:cs="Arial"/>
          <w:color w:val="auto"/>
          <w:szCs w:val="21"/>
          <w:highlight w:val="none"/>
          <w:lang w:val="en-US" w:eastAsia="zh-CN"/>
        </w:rPr>
        <w:t>成交</w:t>
      </w:r>
      <w:r>
        <w:rPr>
          <w:rFonts w:ascii="Arial" w:hAnsi="Arial" w:cs="Arial"/>
          <w:color w:val="auto"/>
          <w:szCs w:val="21"/>
          <w:highlight w:val="none"/>
        </w:rPr>
        <w:t>供应商须按采购人的具体需求供货。对于物资供应，由医院确定系统平台上架的厂家和品种，经过医院审核过才允许在系统平台上架</w:t>
      </w:r>
      <w:r>
        <w:rPr>
          <w:rFonts w:hint="eastAsia" w:ascii="Arial" w:hAnsi="Arial" w:cs="Arial"/>
          <w:color w:val="auto"/>
          <w:szCs w:val="21"/>
          <w:highlight w:val="none"/>
          <w:lang w:eastAsia="zh-CN"/>
        </w:rPr>
        <w:t>。</w:t>
      </w:r>
    </w:p>
    <w:p>
      <w:pPr>
        <w:shd w:val="clear" w:color="auto" w:fill="FFFFFF"/>
        <w:spacing w:line="400" w:lineRule="exact"/>
        <w:rPr>
          <w:rFonts w:ascii="Arial" w:hAnsi="Arial" w:cs="Arial"/>
          <w:color w:val="auto"/>
          <w:szCs w:val="21"/>
          <w:highlight w:val="none"/>
        </w:rPr>
      </w:pPr>
      <w:r>
        <w:rPr>
          <w:rFonts w:ascii="Arial" w:hAnsi="Arial" w:cs="Arial"/>
          <w:color w:val="auto"/>
          <w:spacing w:val="8"/>
          <w:kern w:val="0"/>
          <w:szCs w:val="21"/>
          <w:highlight w:val="none"/>
        </w:rPr>
        <w:t>（3）</w:t>
      </w:r>
      <w:r>
        <w:rPr>
          <w:rFonts w:ascii="Arial" w:hAnsi="Arial" w:cs="Arial"/>
          <w:color w:val="auto"/>
          <w:szCs w:val="21"/>
          <w:highlight w:val="none"/>
        </w:rPr>
        <w:t>供应商</w:t>
      </w:r>
      <w:r>
        <w:rPr>
          <w:rFonts w:ascii="Arial" w:hAnsi="Arial" w:cs="Arial"/>
          <w:color w:val="auto"/>
          <w:spacing w:val="8"/>
          <w:kern w:val="0"/>
          <w:szCs w:val="21"/>
          <w:highlight w:val="none"/>
        </w:rPr>
        <w:t>针对此项目成立专门的</w:t>
      </w:r>
      <w:r>
        <w:rPr>
          <w:rFonts w:ascii="Arial" w:hAnsi="Arial" w:cs="Arial"/>
          <w:color w:val="auto"/>
          <w:szCs w:val="21"/>
          <w:highlight w:val="none"/>
        </w:rPr>
        <w:t>供应链运营管理团队，提供供应、仓储、配送（</w:t>
      </w:r>
      <w:r>
        <w:rPr>
          <w:rFonts w:hint="eastAsia"/>
          <w:color w:val="auto"/>
          <w:highlight w:val="none"/>
        </w:rPr>
        <w:t>点餐式送货</w:t>
      </w:r>
      <w:r>
        <w:rPr>
          <w:rFonts w:ascii="Arial" w:hAnsi="Arial" w:cs="Arial"/>
          <w:color w:val="auto"/>
          <w:szCs w:val="21"/>
          <w:highlight w:val="none"/>
        </w:rPr>
        <w:t>）的全套服务。配送人员、采购人员、仓管人员、运营人员均由供应商聘任管理，配送人员在业务上接受医院的指导和监督。</w:t>
      </w:r>
    </w:p>
    <w:p>
      <w:pPr>
        <w:spacing w:line="400" w:lineRule="exact"/>
        <w:rPr>
          <w:rFonts w:ascii="Arial" w:hAnsi="Arial" w:cs="Arial"/>
          <w:color w:val="auto"/>
          <w:szCs w:val="21"/>
          <w:highlight w:val="none"/>
        </w:rPr>
      </w:pPr>
      <w:r>
        <w:rPr>
          <w:rFonts w:ascii="Arial" w:hAnsi="Arial" w:cs="Arial"/>
          <w:color w:val="auto"/>
          <w:szCs w:val="21"/>
          <w:highlight w:val="none"/>
        </w:rPr>
        <w:t>（4）实施院内物流（</w:t>
      </w:r>
      <w:r>
        <w:rPr>
          <w:rFonts w:hint="eastAsia"/>
          <w:color w:val="auto"/>
          <w:highlight w:val="none"/>
        </w:rPr>
        <w:t>点餐式送货</w:t>
      </w:r>
      <w:r>
        <w:rPr>
          <w:rFonts w:ascii="Arial" w:hAnsi="Arial" w:cs="Arial"/>
          <w:color w:val="auto"/>
          <w:szCs w:val="21"/>
          <w:highlight w:val="none"/>
        </w:rPr>
        <w:t>）模式的核心思想是通过供应商管理库存，实现医院物资零库存，科室签字验收领用物品后才视为医院购买，减少医院库存占用的资金，根据系统报表和科室签收的收货单，医院每月度结算货款；同时减少整个供应链的信息不对称而造成的效率低下与浪费。</w:t>
      </w:r>
    </w:p>
    <w:p>
      <w:pPr>
        <w:tabs>
          <w:tab w:val="left" w:pos="735"/>
        </w:tabs>
        <w:spacing w:line="400" w:lineRule="exact"/>
        <w:rPr>
          <w:rFonts w:ascii="Arial" w:hAnsi="Arial" w:cs="Arial"/>
          <w:color w:val="auto"/>
          <w:szCs w:val="21"/>
          <w:highlight w:val="none"/>
        </w:rPr>
      </w:pPr>
      <w:r>
        <w:rPr>
          <w:rFonts w:ascii="Arial" w:hAnsi="Arial" w:cs="Arial"/>
          <w:color w:val="auto"/>
          <w:szCs w:val="21"/>
          <w:highlight w:val="none"/>
        </w:rPr>
        <w:t>二、</w:t>
      </w:r>
      <w:r>
        <w:rPr>
          <w:rFonts w:ascii="Arial" w:hAnsi="Arial" w:cs="Arial"/>
          <w:b/>
          <w:color w:val="auto"/>
          <w:szCs w:val="21"/>
          <w:highlight w:val="none"/>
        </w:rPr>
        <w:t>医院后勤物资供应链</w:t>
      </w:r>
      <w:r>
        <w:rPr>
          <w:rFonts w:ascii="Arial" w:hAnsi="Arial" w:cs="Arial"/>
          <w:b/>
          <w:bCs/>
          <w:color w:val="auto"/>
          <w:szCs w:val="21"/>
          <w:highlight w:val="none"/>
        </w:rPr>
        <w:t>管理系统软件总体要求</w:t>
      </w:r>
    </w:p>
    <w:p>
      <w:pPr>
        <w:spacing w:line="400" w:lineRule="exact"/>
        <w:rPr>
          <w:rFonts w:hint="eastAsia" w:ascii="Arial" w:hAnsi="Arial" w:eastAsia="宋体" w:cs="Arial"/>
          <w:color w:val="auto"/>
          <w:szCs w:val="21"/>
          <w:highlight w:val="none"/>
        </w:rPr>
      </w:pPr>
      <w:r>
        <w:rPr>
          <w:color w:val="auto"/>
          <w:szCs w:val="21"/>
          <w:highlight w:val="none"/>
        </w:rPr>
        <w:t>▲</w:t>
      </w:r>
      <w:r>
        <w:rPr>
          <w:rFonts w:hint="eastAsia"/>
          <w:color w:val="auto"/>
          <w:szCs w:val="21"/>
          <w:lang w:val="en-US" w:eastAsia="zh-CN"/>
        </w:rPr>
        <w:t>1、</w:t>
      </w:r>
      <w:r>
        <w:rPr>
          <w:rFonts w:ascii="Arial" w:hAnsi="Arial" w:cs="Arial"/>
          <w:color w:val="auto"/>
          <w:szCs w:val="21"/>
          <w:highlight w:val="none"/>
        </w:rPr>
        <w:t>包含在本次报价中提供一套专为采购人定制开发的医院后勤物资管理系统软件（包含在本次报价中负责后期系统的维护及升级），实现后勤物资供应链管理全程可视与可追踪，实现移动端、PC端物资申领、申购和审批，物流作业精细化、可视化，减少物流节点，提高物流效率。</w:t>
      </w:r>
      <w:r>
        <w:rPr>
          <w:rFonts w:hint="eastAsia" w:ascii="Arial" w:hAnsi="Arial" w:cs="Arial"/>
          <w:b/>
          <w:bCs/>
          <w:color w:val="auto"/>
          <w:szCs w:val="21"/>
          <w:highlight w:val="none"/>
        </w:rPr>
        <w:t>软件功能方面具有上架审批、调价审批功能，且支持多环节审批，审批过程及结果支持查询、打印、可视化，并能将物资领用数据（随时）导入采购人物资系统。免费开放接口，提供的软件能按医院集成平台总线要求开发接口，完成与院内HIS系统免费对接</w:t>
      </w:r>
      <w:r>
        <w:rPr>
          <w:rFonts w:hint="eastAsia" w:ascii="Arial" w:hAnsi="Arial" w:cs="Arial"/>
          <w:b/>
          <w:bCs/>
          <w:color w:val="auto"/>
          <w:szCs w:val="21"/>
          <w:highlight w:val="none"/>
          <w:lang w:eastAsia="zh-CN"/>
        </w:rPr>
        <w:t>（</w:t>
      </w:r>
      <w:r>
        <w:rPr>
          <w:rFonts w:hint="eastAsia" w:ascii="Arial" w:hAnsi="Arial" w:cs="Arial"/>
          <w:b/>
          <w:bCs/>
          <w:color w:val="auto"/>
          <w:szCs w:val="21"/>
          <w:highlight w:val="none"/>
          <w:lang w:val="en-US" w:eastAsia="zh-CN"/>
        </w:rPr>
        <w:t>进驻后3个月内完成</w:t>
      </w:r>
      <w:r>
        <w:rPr>
          <w:rFonts w:hint="eastAsia" w:ascii="Arial" w:hAnsi="Arial" w:cs="Arial"/>
          <w:b/>
          <w:bCs/>
          <w:color w:val="auto"/>
          <w:szCs w:val="21"/>
          <w:highlight w:val="none"/>
          <w:lang w:eastAsia="zh-CN"/>
        </w:rPr>
        <w:t>）</w:t>
      </w:r>
      <w:r>
        <w:rPr>
          <w:rFonts w:hint="eastAsia" w:ascii="Arial" w:hAnsi="Arial" w:cs="Arial"/>
          <w:b/>
          <w:bCs/>
          <w:color w:val="auto"/>
          <w:szCs w:val="21"/>
          <w:highlight w:val="none"/>
        </w:rPr>
        <w:t>，并且可根据定制化要求开发接口。可</w:t>
      </w:r>
      <w:r>
        <w:rPr>
          <w:rFonts w:hint="eastAsia" w:ascii="Arial" w:hAnsi="Arial" w:eastAsia="宋体" w:cs="Arial"/>
          <w:color w:val="auto"/>
          <w:szCs w:val="21"/>
          <w:highlight w:val="none"/>
        </w:rPr>
        <w:t>随时按医院管理、评审要求导出数据。</w:t>
      </w:r>
    </w:p>
    <w:p>
      <w:pPr>
        <w:spacing w:line="400" w:lineRule="exact"/>
        <w:rPr>
          <w:rFonts w:hint="eastAsia" w:ascii="Arial" w:hAnsi="Arial" w:eastAsia="宋体" w:cs="Arial"/>
          <w:color w:val="auto"/>
          <w:szCs w:val="21"/>
          <w:highlight w:val="none"/>
          <w:lang w:val="en-US" w:eastAsia="zh-CN"/>
        </w:rPr>
      </w:pPr>
      <w:r>
        <w:rPr>
          <w:color w:val="auto"/>
          <w:szCs w:val="21"/>
          <w:highlight w:val="none"/>
        </w:rPr>
        <w:t>▲</w:t>
      </w:r>
      <w:r>
        <w:rPr>
          <w:rFonts w:hint="eastAsia" w:ascii="Arial" w:hAnsi="Arial" w:eastAsia="宋体" w:cs="Arial"/>
          <w:color w:val="auto"/>
          <w:szCs w:val="21"/>
          <w:highlight w:val="none"/>
          <w:lang w:val="en-US" w:eastAsia="zh-CN"/>
        </w:rPr>
        <w:t>2、对接使用到的接口服务器操作系统、数据库或使用到的第三方软件，须提供正版授权，导致版权纠纷的由投标方负责，对接产生费用自行承担。</w:t>
      </w:r>
    </w:p>
    <w:p>
      <w:pPr>
        <w:tabs>
          <w:tab w:val="left" w:pos="735"/>
        </w:tabs>
        <w:spacing w:line="400" w:lineRule="exact"/>
        <w:rPr>
          <w:rFonts w:ascii="Arial" w:hAnsi="Arial" w:cs="Arial"/>
          <w:b/>
          <w:bCs/>
          <w:color w:val="auto"/>
          <w:szCs w:val="21"/>
          <w:highlight w:val="none"/>
        </w:rPr>
      </w:pPr>
      <w:bookmarkStart w:id="0" w:name="_Toc399172480"/>
      <w:bookmarkStart w:id="1" w:name="_Toc30762"/>
      <w:r>
        <w:rPr>
          <w:rFonts w:ascii="Arial" w:hAnsi="Arial" w:cs="Arial"/>
          <w:b/>
          <w:bCs/>
          <w:color w:val="auto"/>
          <w:szCs w:val="21"/>
          <w:highlight w:val="none"/>
        </w:rPr>
        <w:t>三、</w:t>
      </w:r>
      <w:r>
        <w:rPr>
          <w:rFonts w:ascii="Arial" w:hAnsi="Arial" w:cs="Arial"/>
          <w:b/>
          <w:color w:val="auto"/>
          <w:szCs w:val="21"/>
          <w:highlight w:val="none"/>
        </w:rPr>
        <w:t>医院后勤物资供应链</w:t>
      </w:r>
      <w:r>
        <w:rPr>
          <w:rFonts w:ascii="Arial" w:hAnsi="Arial" w:cs="Arial"/>
          <w:b/>
          <w:bCs/>
          <w:color w:val="auto"/>
          <w:szCs w:val="21"/>
          <w:highlight w:val="none"/>
        </w:rPr>
        <w:t>管理系统软件建设说明及技术要求</w:t>
      </w:r>
    </w:p>
    <w:p>
      <w:pPr>
        <w:tabs>
          <w:tab w:val="left" w:pos="735"/>
        </w:tabs>
        <w:spacing w:line="400" w:lineRule="exact"/>
        <w:rPr>
          <w:rFonts w:ascii="Arial" w:hAnsi="Arial" w:cs="Arial"/>
          <w:b/>
          <w:bCs/>
          <w:color w:val="auto"/>
          <w:szCs w:val="21"/>
          <w:highlight w:val="none"/>
        </w:rPr>
      </w:pPr>
      <w:r>
        <w:rPr>
          <w:rFonts w:ascii="Arial" w:hAnsi="Arial" w:cs="Arial"/>
          <w:b/>
          <w:bCs/>
          <w:color w:val="auto"/>
          <w:szCs w:val="21"/>
          <w:highlight w:val="none"/>
        </w:rPr>
        <w:t>3.1.1.1 系统概况</w:t>
      </w:r>
      <w:bookmarkEnd w:id="0"/>
      <w:bookmarkEnd w:id="1"/>
      <w:bookmarkStart w:id="2" w:name="_Toc399172481"/>
    </w:p>
    <w:p>
      <w:pPr>
        <w:tabs>
          <w:tab w:val="left" w:pos="735"/>
        </w:tabs>
        <w:spacing w:line="400" w:lineRule="exact"/>
        <w:rPr>
          <w:rFonts w:ascii="Arial" w:hAnsi="Arial" w:cs="Arial"/>
          <w:color w:val="auto"/>
          <w:szCs w:val="21"/>
          <w:highlight w:val="none"/>
          <w:lang w:val="zh-CN"/>
        </w:rPr>
      </w:pPr>
      <w:r>
        <w:rPr>
          <w:rFonts w:ascii="Arial" w:hAnsi="Arial" w:cs="Arial"/>
          <w:color w:val="auto"/>
          <w:szCs w:val="21"/>
          <w:highlight w:val="none"/>
        </w:rPr>
        <w:t>物资管理系统是为满足医院的物资申请、物资管控、物资配送、财务核算等业务而研发的智能化、集成化的管理软件。旨在管控医院物资的整体流动，提供可视化、透明化的管理效果，改变老、旧的仓库物资管理概念，实现物资管控由粗放型向技术集约型转变，从传统手工登记向信息化手段管控转变，提升人员的工作效率。系统实施周期：</w:t>
      </w:r>
      <w:r>
        <w:rPr>
          <w:rFonts w:ascii="Arial" w:hAnsi="Arial" w:cs="Arial"/>
          <w:color w:val="auto"/>
          <w:kern w:val="0"/>
          <w:szCs w:val="21"/>
          <w:highlight w:val="none"/>
        </w:rPr>
        <w:t>签订合同后60天内实施完成。</w:t>
      </w:r>
    </w:p>
    <w:p>
      <w:pPr>
        <w:spacing w:before="0" w:after="0" w:line="400" w:lineRule="exact"/>
        <w:outlineLvl w:val="9"/>
        <w:rPr>
          <w:rFonts w:eastAsia="宋体" w:cs="Arial"/>
          <w:color w:val="auto"/>
          <w:sz w:val="21"/>
          <w:szCs w:val="21"/>
          <w:highlight w:val="none"/>
        </w:rPr>
      </w:pPr>
      <w:bookmarkStart w:id="3" w:name="_Toc23025"/>
      <w:bookmarkStart w:id="4" w:name="_Toc5454"/>
      <w:r>
        <w:rPr>
          <w:rFonts w:eastAsia="宋体" w:cs="Arial"/>
          <w:color w:val="auto"/>
          <w:sz w:val="21"/>
          <w:szCs w:val="21"/>
          <w:highlight w:val="none"/>
        </w:rPr>
        <w:t>3.1.1.2 建设目标</w:t>
      </w:r>
      <w:bookmarkEnd w:id="3"/>
      <w:bookmarkEnd w:id="4"/>
    </w:p>
    <w:bookmarkEnd w:id="2"/>
    <w:p>
      <w:pPr>
        <w:pStyle w:val="13"/>
        <w:spacing w:before="0" w:beforeAutospacing="0" w:after="0" w:afterAutospacing="0" w:line="400" w:lineRule="exact"/>
        <w:outlineLvl w:val="9"/>
        <w:rPr>
          <w:rFonts w:ascii="Arial" w:hAnsi="Arial" w:cs="Arial"/>
          <w:color w:val="auto"/>
          <w:kern w:val="44"/>
          <w:szCs w:val="21"/>
          <w:highlight w:val="none"/>
        </w:rPr>
      </w:pPr>
      <w:bookmarkStart w:id="5" w:name="_Toc399172482"/>
      <w:r>
        <w:rPr>
          <w:rFonts w:ascii="Arial" w:hAnsi="Arial" w:cs="Arial"/>
          <w:color w:val="auto"/>
          <w:kern w:val="44"/>
          <w:szCs w:val="21"/>
          <w:highlight w:val="none"/>
        </w:rPr>
        <w:t>①“点餐式”物资申领。</w:t>
      </w:r>
    </w:p>
    <w:p>
      <w:pPr>
        <w:pStyle w:val="13"/>
        <w:spacing w:before="0" w:beforeAutospacing="0" w:after="0" w:afterAutospacing="0" w:line="400" w:lineRule="exact"/>
        <w:outlineLvl w:val="9"/>
        <w:rPr>
          <w:rFonts w:ascii="Arial" w:hAnsi="Arial" w:cs="Arial"/>
          <w:color w:val="auto"/>
          <w:szCs w:val="21"/>
          <w:highlight w:val="none"/>
        </w:rPr>
      </w:pPr>
      <w:r>
        <w:rPr>
          <w:rStyle w:val="14"/>
          <w:rFonts w:ascii="Arial" w:hAnsi="Arial" w:cs="Arial"/>
          <w:color w:val="auto"/>
          <w:highlight w:val="none"/>
        </w:rPr>
        <w:t>②</w:t>
      </w:r>
      <w:r>
        <w:rPr>
          <w:rFonts w:ascii="Arial" w:hAnsi="Arial" w:cs="Arial"/>
          <w:color w:val="auto"/>
          <w:kern w:val="44"/>
          <w:szCs w:val="21"/>
          <w:highlight w:val="none"/>
        </w:rPr>
        <w:t>通过物资配送解决方案，实现在手机APP端</w:t>
      </w:r>
      <w:r>
        <w:rPr>
          <w:rFonts w:hint="eastAsia" w:ascii="Arial" w:hAnsi="Arial" w:cs="Arial"/>
          <w:color w:val="auto"/>
          <w:kern w:val="44"/>
          <w:szCs w:val="21"/>
          <w:highlight w:val="none"/>
        </w:rPr>
        <w:t>/手机小程序端</w:t>
      </w:r>
      <w:r>
        <w:rPr>
          <w:rFonts w:ascii="Arial" w:hAnsi="Arial" w:cs="Arial"/>
          <w:color w:val="auto"/>
          <w:kern w:val="44"/>
          <w:szCs w:val="21"/>
          <w:highlight w:val="none"/>
        </w:rPr>
        <w:t>/PC端根据仓库中物资照片、类型、物资库存数量等信息，进行物</w:t>
      </w:r>
      <w:r>
        <w:rPr>
          <w:rFonts w:ascii="Arial" w:hAnsi="Arial" w:cs="Arial"/>
          <w:color w:val="auto"/>
          <w:kern w:val="2"/>
          <w:szCs w:val="21"/>
          <w:highlight w:val="none"/>
        </w:rPr>
        <w:t>资申领</w:t>
      </w:r>
      <w:r>
        <w:rPr>
          <w:rFonts w:ascii="Arial" w:hAnsi="Arial" w:cs="Arial"/>
          <w:color w:val="auto"/>
          <w:szCs w:val="21"/>
          <w:highlight w:val="none"/>
        </w:rPr>
        <w:t>。</w:t>
      </w:r>
    </w:p>
    <w:p>
      <w:pPr>
        <w:pStyle w:val="13"/>
        <w:spacing w:before="0" w:beforeAutospacing="0" w:after="0" w:afterAutospacing="0" w:line="400" w:lineRule="exact"/>
        <w:outlineLvl w:val="9"/>
        <w:rPr>
          <w:rFonts w:ascii="Arial" w:hAnsi="Arial" w:cs="Arial"/>
          <w:color w:val="auto"/>
          <w:kern w:val="44"/>
          <w:szCs w:val="21"/>
          <w:highlight w:val="none"/>
        </w:rPr>
      </w:pPr>
      <w:r>
        <w:rPr>
          <w:rFonts w:ascii="Arial" w:hAnsi="Arial" w:cs="Arial"/>
          <w:color w:val="auto"/>
          <w:kern w:val="44"/>
          <w:szCs w:val="21"/>
          <w:highlight w:val="none"/>
        </w:rPr>
        <w:t>③物资管理全流程的可视化、透明化和可追溯。实现申请科室和管理部门在手机APP端/PC端实时查询申购或申领物资的状态，便于精细化管理。</w:t>
      </w:r>
    </w:p>
    <w:p>
      <w:pPr>
        <w:pStyle w:val="13"/>
        <w:spacing w:before="0" w:beforeAutospacing="0" w:after="0" w:afterAutospacing="0" w:line="400" w:lineRule="exact"/>
        <w:outlineLvl w:val="9"/>
        <w:rPr>
          <w:rFonts w:ascii="Arial" w:hAnsi="Arial" w:cs="Arial"/>
          <w:color w:val="auto"/>
          <w:kern w:val="44"/>
          <w:szCs w:val="21"/>
          <w:highlight w:val="none"/>
        </w:rPr>
      </w:pPr>
      <w:r>
        <w:rPr>
          <w:rFonts w:ascii="Arial" w:hAnsi="Arial" w:cs="Arial"/>
          <w:color w:val="auto"/>
          <w:kern w:val="44"/>
          <w:szCs w:val="21"/>
          <w:highlight w:val="none"/>
        </w:rPr>
        <w:t>④实现申领或申购物资在手机APP端</w:t>
      </w:r>
      <w:r>
        <w:rPr>
          <w:rFonts w:hint="eastAsia" w:ascii="Arial" w:hAnsi="Arial" w:cs="Arial"/>
          <w:color w:val="auto"/>
          <w:kern w:val="44"/>
          <w:szCs w:val="21"/>
          <w:highlight w:val="none"/>
        </w:rPr>
        <w:t>/手机小程序端</w:t>
      </w:r>
      <w:r>
        <w:rPr>
          <w:rFonts w:ascii="Arial" w:hAnsi="Arial" w:cs="Arial"/>
          <w:color w:val="auto"/>
          <w:kern w:val="44"/>
          <w:szCs w:val="21"/>
          <w:highlight w:val="none"/>
        </w:rPr>
        <w:t>/PC端审批，解放人力，提高工作效率。</w:t>
      </w:r>
    </w:p>
    <w:bookmarkEnd w:id="5"/>
    <w:p>
      <w:pPr>
        <w:spacing w:before="0" w:after="0" w:line="400" w:lineRule="exact"/>
        <w:outlineLvl w:val="9"/>
        <w:rPr>
          <w:rFonts w:eastAsia="宋体" w:cs="Arial"/>
          <w:color w:val="auto"/>
          <w:sz w:val="21"/>
          <w:szCs w:val="21"/>
          <w:highlight w:val="none"/>
        </w:rPr>
      </w:pPr>
      <w:bookmarkStart w:id="6" w:name="_Toc13126"/>
      <w:r>
        <w:rPr>
          <w:rFonts w:eastAsia="宋体" w:cs="Arial"/>
          <w:color w:val="auto"/>
          <w:sz w:val="21"/>
          <w:szCs w:val="21"/>
          <w:highlight w:val="none"/>
        </w:rPr>
        <w:t>3.1.1.3 项目范围</w:t>
      </w:r>
      <w:bookmarkEnd w:id="6"/>
    </w:p>
    <w:p>
      <w:pPr>
        <w:spacing w:before="0" w:after="0" w:line="400" w:lineRule="exact"/>
        <w:outlineLvl w:val="9"/>
        <w:rPr>
          <w:rFonts w:eastAsia="宋体" w:cs="Arial"/>
          <w:b w:val="0"/>
          <w:bCs w:val="0"/>
          <w:color w:val="auto"/>
          <w:kern w:val="44"/>
          <w:sz w:val="21"/>
          <w:szCs w:val="21"/>
          <w:highlight w:val="none"/>
        </w:rPr>
      </w:pPr>
      <w:r>
        <w:rPr>
          <w:rFonts w:eastAsia="宋体" w:cs="Arial"/>
          <w:b w:val="0"/>
          <w:bCs w:val="0"/>
          <w:color w:val="auto"/>
          <w:kern w:val="44"/>
          <w:sz w:val="21"/>
          <w:szCs w:val="21"/>
          <w:highlight w:val="none"/>
        </w:rPr>
        <w:t>本次项目的建设范围包括：</w:t>
      </w:r>
    </w:p>
    <w:p>
      <w:pPr>
        <w:pStyle w:val="13"/>
        <w:spacing w:before="0" w:beforeAutospacing="0" w:after="0" w:afterAutospacing="0" w:line="400" w:lineRule="exact"/>
        <w:outlineLvl w:val="9"/>
        <w:rPr>
          <w:rFonts w:ascii="Arial" w:hAnsi="Arial" w:cs="Arial"/>
          <w:color w:val="auto"/>
          <w:kern w:val="44"/>
          <w:szCs w:val="21"/>
          <w:highlight w:val="none"/>
        </w:rPr>
      </w:pPr>
      <w:r>
        <w:rPr>
          <w:rFonts w:ascii="Arial" w:hAnsi="Arial" w:cs="Arial"/>
          <w:color w:val="auto"/>
          <w:kern w:val="44"/>
          <w:szCs w:val="21"/>
          <w:highlight w:val="none"/>
        </w:rPr>
        <w:t>①覆盖业务单元：物资申请、物资审批、物资审计、物资采购、物资仓储、配送、结算。</w:t>
      </w:r>
    </w:p>
    <w:p>
      <w:pPr>
        <w:pStyle w:val="13"/>
        <w:spacing w:before="0" w:beforeAutospacing="0" w:after="0" w:afterAutospacing="0" w:line="400" w:lineRule="exact"/>
        <w:outlineLvl w:val="9"/>
        <w:rPr>
          <w:rFonts w:ascii="Arial" w:hAnsi="Arial" w:cs="Arial"/>
          <w:color w:val="auto"/>
          <w:kern w:val="44"/>
          <w:szCs w:val="21"/>
          <w:highlight w:val="none"/>
        </w:rPr>
      </w:pPr>
      <w:r>
        <w:rPr>
          <w:rFonts w:ascii="Arial" w:hAnsi="Arial" w:cs="Arial"/>
          <w:color w:val="auto"/>
          <w:szCs w:val="21"/>
          <w:highlight w:val="none"/>
        </w:rPr>
        <w:t>②</w:t>
      </w:r>
      <w:r>
        <w:rPr>
          <w:rFonts w:ascii="Arial" w:hAnsi="Arial" w:cs="Arial"/>
          <w:color w:val="auto"/>
          <w:kern w:val="44"/>
          <w:szCs w:val="21"/>
          <w:highlight w:val="none"/>
        </w:rPr>
        <w:t>覆盖管理单元：后勤部门、审计部门、后勤仓库、物资申请科室。</w:t>
      </w:r>
    </w:p>
    <w:p>
      <w:pPr>
        <w:spacing w:before="0" w:after="0" w:line="400" w:lineRule="exact"/>
        <w:outlineLvl w:val="9"/>
        <w:rPr>
          <w:rFonts w:eastAsia="宋体" w:cs="Arial"/>
          <w:color w:val="auto"/>
          <w:sz w:val="21"/>
          <w:szCs w:val="21"/>
          <w:highlight w:val="none"/>
        </w:rPr>
      </w:pPr>
      <w:bookmarkStart w:id="7" w:name="_Toc399172484"/>
      <w:bookmarkStart w:id="8" w:name="_Toc20912"/>
      <w:r>
        <w:rPr>
          <w:rFonts w:eastAsia="宋体" w:cs="Arial"/>
          <w:color w:val="auto"/>
          <w:sz w:val="21"/>
          <w:szCs w:val="21"/>
          <w:highlight w:val="none"/>
        </w:rPr>
        <w:t>3.1.1.4 建设原则</w:t>
      </w:r>
      <w:bookmarkEnd w:id="7"/>
      <w:bookmarkEnd w:id="8"/>
    </w:p>
    <w:p>
      <w:pPr>
        <w:pStyle w:val="15"/>
        <w:spacing w:line="400" w:lineRule="exact"/>
        <w:ind w:firstLine="0" w:firstLineChars="0"/>
        <w:outlineLvl w:val="9"/>
        <w:rPr>
          <w:rFonts w:ascii="Arial" w:hAnsi="Arial" w:cs="Arial"/>
          <w:color w:val="auto"/>
          <w:szCs w:val="21"/>
          <w:highlight w:val="none"/>
        </w:rPr>
      </w:pPr>
      <w:bookmarkStart w:id="9" w:name="_Toc280343307"/>
      <w:bookmarkStart w:id="10" w:name="_Toc102356802"/>
      <w:bookmarkStart w:id="11" w:name="_Toc281426890"/>
      <w:bookmarkStart w:id="12" w:name="_Toc369157140"/>
      <w:r>
        <w:rPr>
          <w:rFonts w:ascii="Arial" w:hAnsi="Arial" w:cs="Arial"/>
          <w:color w:val="auto"/>
          <w:kern w:val="44"/>
          <w:szCs w:val="21"/>
          <w:highlight w:val="none"/>
        </w:rPr>
        <w:t>①</w:t>
      </w:r>
      <w:r>
        <w:rPr>
          <w:rFonts w:ascii="Arial" w:hAnsi="Arial" w:cs="Arial"/>
          <w:color w:val="auto"/>
          <w:szCs w:val="21"/>
          <w:highlight w:val="none"/>
        </w:rPr>
        <w:t>可行性和适应性</w:t>
      </w:r>
      <w:bookmarkEnd w:id="9"/>
      <w:bookmarkEnd w:id="10"/>
      <w:bookmarkEnd w:id="11"/>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本项目要保证技术上的可行性，适合实际需求，满足主要业务要求，并要有对于医院运营环境变化的适应性。</w:t>
      </w:r>
    </w:p>
    <w:p>
      <w:pPr>
        <w:tabs>
          <w:tab w:val="left" w:pos="735"/>
        </w:tabs>
        <w:spacing w:line="400" w:lineRule="exact"/>
        <w:outlineLvl w:val="9"/>
        <w:rPr>
          <w:rFonts w:ascii="Arial" w:hAnsi="Arial" w:cs="Arial"/>
          <w:color w:val="auto"/>
          <w:szCs w:val="21"/>
          <w:highlight w:val="none"/>
        </w:rPr>
      </w:pPr>
      <w:bookmarkStart w:id="13" w:name="_Toc280343312"/>
      <w:bookmarkStart w:id="14" w:name="_Toc281426895"/>
      <w:bookmarkStart w:id="15" w:name="_Toc102356807"/>
      <w:r>
        <w:rPr>
          <w:rFonts w:ascii="Arial" w:hAnsi="Arial" w:cs="Arial"/>
          <w:color w:val="auto"/>
          <w:szCs w:val="21"/>
          <w:highlight w:val="none"/>
        </w:rPr>
        <w:t>②可靠性和稳定性</w:t>
      </w:r>
      <w:bookmarkEnd w:id="13"/>
      <w:bookmarkEnd w:id="14"/>
      <w:bookmarkEnd w:id="15"/>
    </w:p>
    <w:p>
      <w:pPr>
        <w:tabs>
          <w:tab w:val="left" w:pos="735"/>
        </w:tabs>
        <w:spacing w:line="400" w:lineRule="exact"/>
        <w:outlineLvl w:val="9"/>
        <w:rPr>
          <w:rFonts w:ascii="Arial" w:hAnsi="Arial" w:cs="Arial"/>
          <w:color w:val="auto"/>
          <w:szCs w:val="21"/>
          <w:highlight w:val="none"/>
        </w:rPr>
      </w:pPr>
      <w:r>
        <w:rPr>
          <w:rFonts w:ascii="Arial" w:hAnsi="Arial" w:cs="Arial"/>
          <w:color w:val="auto"/>
          <w:szCs w:val="21"/>
          <w:highlight w:val="none"/>
        </w:rPr>
        <w:t>在考虑技术先进性和开放性的同时，还应从系统结构、技术措施、设备性能、系统管理、厂商技术支持及维修能力等方面着手，确保系统运行的可靠性和稳定性，达到最大的平均无故障时间。</w:t>
      </w:r>
    </w:p>
    <w:p>
      <w:pPr>
        <w:pStyle w:val="15"/>
        <w:spacing w:line="400" w:lineRule="exact"/>
        <w:ind w:firstLine="0" w:firstLineChars="0"/>
        <w:outlineLvl w:val="9"/>
        <w:rPr>
          <w:rFonts w:ascii="Arial" w:hAnsi="Arial" w:cs="Arial"/>
          <w:color w:val="auto"/>
          <w:szCs w:val="21"/>
          <w:highlight w:val="none"/>
        </w:rPr>
      </w:pPr>
      <w:bookmarkStart w:id="16" w:name="_Toc102356808"/>
      <w:bookmarkStart w:id="17" w:name="_Toc280343313"/>
      <w:bookmarkStart w:id="18" w:name="_Toc281426896"/>
      <w:r>
        <w:rPr>
          <w:rFonts w:ascii="Arial" w:hAnsi="Arial" w:cs="Arial"/>
          <w:color w:val="auto"/>
          <w:szCs w:val="21"/>
          <w:highlight w:val="none"/>
        </w:rPr>
        <w:t>③安全性和保密性</w:t>
      </w:r>
      <w:bookmarkEnd w:id="16"/>
      <w:bookmarkEnd w:id="17"/>
      <w:bookmarkEnd w:id="18"/>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既考虑信息资源的充分共享，更要注意信息的保护和隔离，因此系统应分别针对不同的应用和不同的网络通信环境，采取不同的措施，包括系统安全机制、数据存取的权限控制等，以确保系统和信息的安全。</w:t>
      </w:r>
      <w:bookmarkStart w:id="19" w:name="_Toc500802513"/>
      <w:bookmarkStart w:id="20" w:name="_Toc20292"/>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④系统价值</w:t>
      </w:r>
      <w:bookmarkEnd w:id="19"/>
      <w:bookmarkEnd w:id="20"/>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功能模块操作界面简洁、易用，可操作性好，操作效率高，数据规范、清晰。</w:t>
      </w:r>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⑤移动办公、流程清晰</w:t>
      </w:r>
    </w:p>
    <w:p>
      <w:pPr>
        <w:pStyle w:val="15"/>
        <w:spacing w:line="400" w:lineRule="exact"/>
        <w:ind w:firstLine="0" w:firstLineChars="0"/>
        <w:outlineLvl w:val="9"/>
        <w:rPr>
          <w:rFonts w:ascii="Arial" w:hAnsi="Arial" w:cs="Arial"/>
          <w:color w:val="auto"/>
          <w:szCs w:val="21"/>
          <w:highlight w:val="none"/>
        </w:rPr>
      </w:pPr>
      <w:r>
        <w:rPr>
          <w:rFonts w:ascii="Arial" w:hAnsi="Arial" w:cs="Arial"/>
          <w:color w:val="auto"/>
          <w:szCs w:val="21"/>
          <w:highlight w:val="none"/>
        </w:rPr>
        <w:t>实现手机APP端</w:t>
      </w:r>
      <w:r>
        <w:rPr>
          <w:rFonts w:hint="eastAsia" w:ascii="Arial" w:hAnsi="Arial" w:cs="Arial"/>
          <w:color w:val="auto"/>
          <w:szCs w:val="21"/>
          <w:highlight w:val="none"/>
        </w:rPr>
        <w:t>/手机小程序端</w:t>
      </w:r>
      <w:r>
        <w:rPr>
          <w:rFonts w:ascii="Arial" w:hAnsi="Arial" w:cs="Arial"/>
          <w:color w:val="auto"/>
          <w:szCs w:val="21"/>
          <w:highlight w:val="none"/>
        </w:rPr>
        <w:t>/PC端进行物资申领、申请和审批。单据可实时追溯查看，全流程透明，进度节点清晰可见。</w:t>
      </w:r>
    </w:p>
    <w:p>
      <w:pPr>
        <w:pStyle w:val="16"/>
        <w:spacing w:line="360" w:lineRule="auto"/>
        <w:ind w:firstLine="0" w:firstLineChars="0"/>
        <w:outlineLvl w:val="9"/>
        <w:rPr>
          <w:rFonts w:ascii="Arial" w:hAnsi="Arial" w:cs="Arial"/>
          <w:color w:val="auto"/>
          <w:szCs w:val="21"/>
          <w:highlight w:val="none"/>
        </w:rPr>
      </w:pPr>
      <w:r>
        <w:rPr>
          <w:rFonts w:ascii="Arial" w:hAnsi="Arial" w:cs="Arial"/>
          <w:color w:val="auto"/>
          <w:szCs w:val="21"/>
          <w:highlight w:val="none"/>
        </w:rPr>
        <w:t>⑥数据汇总统计完整、准确，数据查询方便、智能</w:t>
      </w:r>
    </w:p>
    <w:p>
      <w:pPr>
        <w:pStyle w:val="16"/>
        <w:spacing w:line="360" w:lineRule="auto"/>
        <w:ind w:firstLine="0" w:firstLineChars="0"/>
        <w:outlineLvl w:val="9"/>
        <w:rPr>
          <w:rFonts w:ascii="Arial" w:hAnsi="Arial" w:cs="Arial"/>
          <w:color w:val="auto"/>
          <w:szCs w:val="21"/>
          <w:highlight w:val="none"/>
        </w:rPr>
      </w:pPr>
      <w:r>
        <w:rPr>
          <w:rFonts w:ascii="Arial" w:hAnsi="Arial" w:cs="Arial"/>
          <w:color w:val="auto"/>
          <w:szCs w:val="21"/>
          <w:highlight w:val="none"/>
        </w:rPr>
        <w:t>各类物资汇总、查询和各类表单制作，按采购人的需求定制，实现数据完整、准确，操作方便、智能。</w:t>
      </w:r>
      <w:bookmarkEnd w:id="12"/>
      <w:bookmarkStart w:id="21" w:name="_Toc28642"/>
      <w:bookmarkStart w:id="22" w:name="_Toc399172486"/>
    </w:p>
    <w:bookmarkEnd w:id="21"/>
    <w:bookmarkEnd w:id="22"/>
    <w:p>
      <w:pPr>
        <w:spacing w:before="0" w:after="0" w:line="360" w:lineRule="auto"/>
        <w:outlineLvl w:val="9"/>
        <w:rPr>
          <w:rFonts w:ascii="Arial" w:hAnsi="Arial" w:cs="Arial"/>
          <w:color w:val="auto"/>
          <w:sz w:val="21"/>
          <w:szCs w:val="21"/>
          <w:highlight w:val="none"/>
        </w:rPr>
      </w:pPr>
      <w:bookmarkStart w:id="23" w:name="_Toc4718"/>
      <w:bookmarkStart w:id="24" w:name="_Toc13485"/>
      <w:r>
        <w:rPr>
          <w:rFonts w:ascii="Arial" w:hAnsi="Arial" w:cs="Arial"/>
          <w:color w:val="auto"/>
          <w:sz w:val="21"/>
          <w:szCs w:val="21"/>
          <w:highlight w:val="none"/>
        </w:rPr>
        <w:t>3.1.1.5 流程设计</w:t>
      </w:r>
      <w:bookmarkEnd w:id="23"/>
      <w:bookmarkEnd w:id="24"/>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① 科室在手机APP</w:t>
      </w:r>
      <w:r>
        <w:rPr>
          <w:rFonts w:hint="eastAsia" w:ascii="Arial" w:hAnsi="Arial" w:cs="Arial"/>
          <w:color w:val="auto"/>
          <w:szCs w:val="21"/>
          <w:highlight w:val="none"/>
        </w:rPr>
        <w:t>/手机微信端</w:t>
      </w:r>
      <w:r>
        <w:rPr>
          <w:rFonts w:ascii="Arial" w:hAnsi="Arial" w:cs="Arial"/>
          <w:color w:val="auto"/>
          <w:szCs w:val="21"/>
          <w:highlight w:val="none"/>
        </w:rPr>
        <w:t>或者PC端</w:t>
      </w:r>
      <w:r>
        <w:rPr>
          <w:rFonts w:hint="eastAsia" w:ascii="Arial" w:hAnsi="Arial" w:cs="Arial"/>
          <w:color w:val="auto"/>
          <w:szCs w:val="21"/>
          <w:highlight w:val="none"/>
        </w:rPr>
        <w:t>下单</w:t>
      </w:r>
      <w:r>
        <w:rPr>
          <w:rFonts w:ascii="Arial" w:hAnsi="Arial" w:cs="Arial"/>
          <w:color w:val="auto"/>
          <w:szCs w:val="21"/>
          <w:highlight w:val="none"/>
        </w:rPr>
        <w:t>提交物资申请。</w:t>
      </w:r>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 xml:space="preserve">② </w:t>
      </w:r>
      <w:r>
        <w:rPr>
          <w:rFonts w:hint="eastAsia" w:ascii="Arial" w:hAnsi="Arial" w:cs="Arial"/>
          <w:color w:val="auto"/>
          <w:szCs w:val="21"/>
          <w:highlight w:val="none"/>
        </w:rPr>
        <w:t>科室</w:t>
      </w:r>
      <w:r>
        <w:rPr>
          <w:rFonts w:ascii="Arial" w:hAnsi="Arial" w:cs="Arial"/>
          <w:color w:val="auto"/>
          <w:szCs w:val="21"/>
          <w:highlight w:val="none"/>
        </w:rPr>
        <w:t>领导</w:t>
      </w:r>
      <w:r>
        <w:rPr>
          <w:rFonts w:hint="eastAsia" w:ascii="Arial" w:hAnsi="Arial" w:cs="Arial"/>
          <w:color w:val="auto"/>
          <w:szCs w:val="21"/>
          <w:highlight w:val="none"/>
        </w:rPr>
        <w:t>及相关管理科室人员</w:t>
      </w:r>
      <w:r>
        <w:rPr>
          <w:rFonts w:ascii="Arial" w:hAnsi="Arial" w:cs="Arial"/>
          <w:color w:val="auto"/>
          <w:szCs w:val="21"/>
          <w:highlight w:val="none"/>
        </w:rPr>
        <w:t>在</w:t>
      </w:r>
      <w:r>
        <w:rPr>
          <w:rFonts w:hint="eastAsia" w:ascii="Arial" w:hAnsi="Arial" w:cs="Arial"/>
          <w:color w:val="auto"/>
          <w:szCs w:val="21"/>
          <w:highlight w:val="none"/>
        </w:rPr>
        <w:t>后勤物资管理平台系统上</w:t>
      </w:r>
      <w:r>
        <w:rPr>
          <w:rFonts w:ascii="Arial" w:hAnsi="Arial" w:cs="Arial"/>
          <w:color w:val="auto"/>
          <w:szCs w:val="21"/>
          <w:highlight w:val="none"/>
        </w:rPr>
        <w:t>审批，同意后系统</w:t>
      </w:r>
      <w:r>
        <w:rPr>
          <w:rFonts w:hint="eastAsia" w:ascii="Arial" w:hAnsi="Arial" w:cs="Arial"/>
          <w:color w:val="auto"/>
          <w:szCs w:val="21"/>
          <w:highlight w:val="none"/>
        </w:rPr>
        <w:t>下发物资配送</w:t>
      </w:r>
      <w:r>
        <w:rPr>
          <w:rFonts w:ascii="Arial" w:hAnsi="Arial" w:cs="Arial"/>
          <w:color w:val="auto"/>
          <w:szCs w:val="21"/>
          <w:highlight w:val="none"/>
        </w:rPr>
        <w:t>订单。</w:t>
      </w:r>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③</w:t>
      </w:r>
      <w:r>
        <w:rPr>
          <w:rFonts w:hint="eastAsia" w:ascii="Arial" w:hAnsi="Arial" w:cs="Arial"/>
          <w:color w:val="auto"/>
          <w:szCs w:val="21"/>
          <w:highlight w:val="none"/>
        </w:rPr>
        <w:t xml:space="preserve"> 后勤物资系统供应商</w:t>
      </w:r>
      <w:r>
        <w:rPr>
          <w:rFonts w:ascii="Arial" w:hAnsi="Arial" w:cs="Arial"/>
          <w:color w:val="auto"/>
          <w:szCs w:val="21"/>
          <w:highlight w:val="none"/>
        </w:rPr>
        <w:t>收到消息提示，到仓库核对物资</w:t>
      </w:r>
      <w:r>
        <w:rPr>
          <w:rFonts w:hint="eastAsia" w:ascii="Arial" w:hAnsi="Arial" w:cs="Arial"/>
          <w:color w:val="auto"/>
          <w:szCs w:val="21"/>
          <w:highlight w:val="none"/>
        </w:rPr>
        <w:t>，进行拣货分类</w:t>
      </w:r>
      <w:r>
        <w:rPr>
          <w:rFonts w:ascii="Arial" w:hAnsi="Arial" w:cs="Arial"/>
          <w:color w:val="auto"/>
          <w:szCs w:val="21"/>
          <w:highlight w:val="none"/>
        </w:rPr>
        <w:t>，开始配送</w:t>
      </w:r>
      <w:r>
        <w:rPr>
          <w:rFonts w:hint="eastAsia" w:ascii="Arial" w:hAnsi="Arial" w:cs="Arial"/>
          <w:color w:val="auto"/>
          <w:szCs w:val="21"/>
          <w:highlight w:val="none"/>
        </w:rPr>
        <w:t>到各科室</w:t>
      </w:r>
      <w:r>
        <w:rPr>
          <w:rFonts w:ascii="Arial" w:hAnsi="Arial" w:cs="Arial"/>
          <w:color w:val="auto"/>
          <w:szCs w:val="21"/>
          <w:highlight w:val="none"/>
        </w:rPr>
        <w:t>。</w:t>
      </w:r>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④ 科室根据</w:t>
      </w:r>
      <w:r>
        <w:rPr>
          <w:rFonts w:hint="eastAsia" w:ascii="Arial" w:hAnsi="Arial" w:cs="Arial"/>
          <w:color w:val="auto"/>
          <w:szCs w:val="21"/>
          <w:highlight w:val="none"/>
        </w:rPr>
        <w:t>销售</w:t>
      </w:r>
      <w:r>
        <w:rPr>
          <w:rFonts w:ascii="Arial" w:hAnsi="Arial" w:cs="Arial"/>
          <w:color w:val="auto"/>
          <w:szCs w:val="21"/>
          <w:highlight w:val="none"/>
        </w:rPr>
        <w:t>单核对物资信息，签收物资，并且进行评价，若不评价，系统在配送完成后第五天自动评价满意。</w:t>
      </w:r>
    </w:p>
    <w:p>
      <w:pPr>
        <w:spacing w:line="360" w:lineRule="auto"/>
        <w:jc w:val="left"/>
        <w:outlineLvl w:val="9"/>
        <w:rPr>
          <w:rFonts w:ascii="Arial" w:hAnsi="Arial" w:cs="Arial"/>
          <w:color w:val="auto"/>
          <w:szCs w:val="21"/>
          <w:highlight w:val="none"/>
        </w:rPr>
      </w:pPr>
      <w:r>
        <w:rPr>
          <w:rFonts w:ascii="Arial" w:hAnsi="Arial" w:cs="Arial"/>
          <w:color w:val="auto"/>
          <w:szCs w:val="21"/>
          <w:highlight w:val="none"/>
        </w:rPr>
        <w:t xml:space="preserve">⑤ </w:t>
      </w:r>
      <w:r>
        <w:rPr>
          <w:rFonts w:hint="eastAsia" w:ascii="Arial" w:hAnsi="Arial" w:cs="Arial"/>
          <w:color w:val="auto"/>
          <w:szCs w:val="21"/>
          <w:highlight w:val="none"/>
        </w:rPr>
        <w:t>后勤物资系统供应商根据收回签收销售单上传到软件系统，完成各类签收订单，汇总出具月度报表及销售明细表，与医院方管理科室核对</w:t>
      </w:r>
      <w:r>
        <w:rPr>
          <w:rFonts w:ascii="Arial" w:hAnsi="Arial" w:cs="Arial"/>
          <w:color w:val="auto"/>
          <w:szCs w:val="21"/>
          <w:highlight w:val="none"/>
        </w:rPr>
        <w:t>物资，进行验收、入库。</w:t>
      </w:r>
    </w:p>
    <w:p>
      <w:pPr>
        <w:spacing w:before="0" w:after="0" w:line="400" w:lineRule="exact"/>
        <w:outlineLvl w:val="9"/>
        <w:rPr>
          <w:rFonts w:eastAsia="宋体" w:cs="Arial"/>
          <w:color w:val="auto"/>
          <w:sz w:val="21"/>
          <w:szCs w:val="21"/>
          <w:highlight w:val="none"/>
        </w:rPr>
      </w:pPr>
      <w:bookmarkStart w:id="25" w:name="_Toc27084"/>
      <w:bookmarkStart w:id="26" w:name="_Toc13067"/>
      <w:r>
        <w:rPr>
          <w:rFonts w:eastAsia="宋体" w:cs="Arial"/>
          <w:color w:val="auto"/>
          <w:sz w:val="21"/>
          <w:szCs w:val="21"/>
          <w:highlight w:val="none"/>
        </w:rPr>
        <w:t xml:space="preserve">3.1.1.6 </w:t>
      </w:r>
      <w:bookmarkEnd w:id="25"/>
      <w:bookmarkEnd w:id="26"/>
      <w:r>
        <w:rPr>
          <w:rFonts w:eastAsia="宋体" w:cs="Arial"/>
          <w:color w:val="auto"/>
          <w:sz w:val="21"/>
          <w:szCs w:val="21"/>
          <w:highlight w:val="none"/>
        </w:rPr>
        <w:t>使用场景</w:t>
      </w:r>
    </w:p>
    <w:p>
      <w:pPr>
        <w:spacing w:before="0" w:after="0" w:line="400" w:lineRule="exact"/>
        <w:outlineLvl w:val="9"/>
        <w:rPr>
          <w:rFonts w:eastAsia="宋体" w:cs="Arial"/>
          <w:b w:val="0"/>
          <w:bCs w:val="0"/>
          <w:color w:val="auto"/>
          <w:sz w:val="21"/>
          <w:szCs w:val="21"/>
          <w:highlight w:val="none"/>
        </w:rPr>
      </w:pPr>
      <w:bookmarkStart w:id="27" w:name="_Toc10444"/>
      <w:r>
        <w:rPr>
          <w:rFonts w:eastAsia="宋体" w:cs="Arial"/>
          <w:b w:val="0"/>
          <w:bCs w:val="0"/>
          <w:color w:val="auto"/>
          <w:kern w:val="44"/>
          <w:sz w:val="21"/>
          <w:szCs w:val="21"/>
          <w:highlight w:val="none"/>
        </w:rPr>
        <w:t>①</w:t>
      </w:r>
      <w:r>
        <w:rPr>
          <w:rFonts w:eastAsia="宋体" w:cs="Arial"/>
          <w:b w:val="0"/>
          <w:bCs w:val="0"/>
          <w:color w:val="auto"/>
          <w:sz w:val="21"/>
          <w:szCs w:val="21"/>
          <w:highlight w:val="none"/>
        </w:rPr>
        <w:t>物资申请</w:t>
      </w:r>
      <w:bookmarkEnd w:id="27"/>
    </w:p>
    <w:p>
      <w:pPr>
        <w:spacing w:line="400" w:lineRule="exact"/>
        <w:outlineLvl w:val="9"/>
        <w:rPr>
          <w:rFonts w:ascii="Arial" w:hAnsi="Arial" w:cs="Arial"/>
          <w:color w:val="auto"/>
          <w:szCs w:val="21"/>
          <w:highlight w:val="none"/>
        </w:rPr>
      </w:pPr>
      <w:r>
        <w:rPr>
          <w:rFonts w:ascii="Arial" w:hAnsi="Arial" w:cs="Arial"/>
          <w:color w:val="auto"/>
          <w:szCs w:val="21"/>
          <w:highlight w:val="none"/>
        </w:rPr>
        <w:t>物资申请有两种方式：</w:t>
      </w:r>
      <w:r>
        <w:rPr>
          <w:rFonts w:hint="eastAsia" w:ascii="Arial" w:hAnsi="Arial" w:cs="Arial"/>
          <w:color w:val="auto"/>
          <w:szCs w:val="21"/>
          <w:highlight w:val="none"/>
        </w:rPr>
        <w:t>手</w:t>
      </w:r>
      <w:r>
        <w:rPr>
          <w:rFonts w:ascii="Arial" w:hAnsi="Arial" w:cs="Arial"/>
          <w:color w:val="auto"/>
          <w:szCs w:val="21"/>
          <w:highlight w:val="none"/>
        </w:rPr>
        <w:t>机APP端/手机小程序端/PC端的物资申请。科室人员可以在</w:t>
      </w:r>
      <w:r>
        <w:rPr>
          <w:rFonts w:hint="eastAsia" w:ascii="Arial" w:hAnsi="Arial" w:cs="Arial"/>
          <w:color w:val="auto"/>
          <w:szCs w:val="21"/>
          <w:highlight w:val="none"/>
        </w:rPr>
        <w:t>手</w:t>
      </w:r>
      <w:r>
        <w:rPr>
          <w:rFonts w:ascii="Arial" w:hAnsi="Arial" w:cs="Arial"/>
          <w:color w:val="auto"/>
          <w:szCs w:val="21"/>
          <w:highlight w:val="none"/>
        </w:rPr>
        <w:t>机APP端/手机小程序端/PC端对本科室常用申请物资进行配置。如果未设置，则物资清单中，所有物资为非常用物资。</w:t>
      </w:r>
    </w:p>
    <w:p>
      <w:pPr>
        <w:spacing w:before="0" w:after="0" w:line="400" w:lineRule="exact"/>
        <w:outlineLvl w:val="9"/>
        <w:rPr>
          <w:rFonts w:eastAsia="宋体" w:cs="Arial"/>
          <w:b w:val="0"/>
          <w:bCs w:val="0"/>
          <w:color w:val="auto"/>
          <w:sz w:val="21"/>
          <w:szCs w:val="21"/>
          <w:highlight w:val="none"/>
        </w:rPr>
      </w:pPr>
      <w:r>
        <w:rPr>
          <w:rFonts w:eastAsia="宋体" w:cs="Arial"/>
          <w:b w:val="0"/>
          <w:bCs w:val="0"/>
          <w:color w:val="auto"/>
          <w:sz w:val="21"/>
          <w:szCs w:val="21"/>
          <w:highlight w:val="none"/>
        </w:rPr>
        <w:t>②申请审批</w:t>
      </w:r>
    </w:p>
    <w:p>
      <w:pPr>
        <w:spacing w:line="400" w:lineRule="exact"/>
        <w:outlineLvl w:val="9"/>
        <w:rPr>
          <w:rFonts w:ascii="Arial" w:hAnsi="Arial" w:cs="Arial"/>
          <w:color w:val="auto"/>
          <w:szCs w:val="21"/>
          <w:highlight w:val="none"/>
        </w:rPr>
      </w:pPr>
      <w:r>
        <w:rPr>
          <w:rFonts w:hint="eastAsia" w:ascii="Arial" w:hAnsi="Arial" w:cs="Arial"/>
          <w:color w:val="auto"/>
          <w:szCs w:val="21"/>
          <w:highlight w:val="none"/>
        </w:rPr>
        <w:t>手</w:t>
      </w:r>
      <w:r>
        <w:rPr>
          <w:rFonts w:ascii="Arial" w:hAnsi="Arial" w:cs="Arial"/>
          <w:color w:val="auto"/>
          <w:szCs w:val="21"/>
          <w:highlight w:val="none"/>
        </w:rPr>
        <w:t>机APP端/手机小程序端/PC端进行物资申领、申请的审批。单据可实时追溯查看，全流程透明，进度节点清晰可见。</w:t>
      </w:r>
    </w:p>
    <w:p>
      <w:pPr>
        <w:spacing w:before="0" w:after="0" w:line="400" w:lineRule="exact"/>
        <w:outlineLvl w:val="9"/>
        <w:rPr>
          <w:rFonts w:ascii="Arial" w:hAnsi="Arial" w:cs="Arial"/>
          <w:color w:val="auto"/>
          <w:szCs w:val="21"/>
          <w:highlight w:val="none"/>
        </w:rPr>
      </w:pPr>
      <w:bookmarkStart w:id="28" w:name="_Toc9070"/>
      <w:r>
        <w:rPr>
          <w:rFonts w:ascii="Arial" w:hAnsi="Arial" w:cs="Arial"/>
          <w:b w:val="0"/>
          <w:bCs w:val="0"/>
          <w:color w:val="auto"/>
          <w:sz w:val="21"/>
          <w:szCs w:val="21"/>
          <w:highlight w:val="none"/>
        </w:rPr>
        <w:t>③任务派工</w:t>
      </w:r>
      <w:bookmarkEnd w:id="28"/>
      <w:r>
        <w:rPr>
          <w:rFonts w:ascii="Arial" w:hAnsi="Arial" w:cs="Arial"/>
          <w:b w:val="0"/>
          <w:bCs w:val="0"/>
          <w:color w:val="auto"/>
          <w:sz w:val="21"/>
          <w:szCs w:val="21"/>
          <w:highlight w:val="none"/>
        </w:rPr>
        <w:t>配送</w:t>
      </w:r>
    </w:p>
    <w:p>
      <w:pPr>
        <w:spacing w:line="400" w:lineRule="exact"/>
        <w:outlineLvl w:val="9"/>
        <w:rPr>
          <w:rFonts w:ascii="Arial" w:hAnsi="Arial" w:cs="Arial"/>
          <w:color w:val="auto"/>
          <w:szCs w:val="21"/>
          <w:highlight w:val="none"/>
        </w:rPr>
      </w:pPr>
      <w:r>
        <w:rPr>
          <w:rFonts w:ascii="Arial" w:hAnsi="Arial" w:cs="Arial"/>
          <w:color w:val="auto"/>
          <w:szCs w:val="21"/>
          <w:highlight w:val="none"/>
        </w:rPr>
        <w:t>科室的物资申请在满足库存条件后变为物资领用单。由供应商库管员根据领用单进行出库，并将</w:t>
      </w:r>
      <w:r>
        <w:rPr>
          <w:rFonts w:hint="eastAsia" w:ascii="Arial" w:hAnsi="Arial" w:cs="Arial"/>
          <w:color w:val="auto"/>
          <w:szCs w:val="21"/>
          <w:highlight w:val="none"/>
        </w:rPr>
        <w:t>物品销售单</w:t>
      </w:r>
      <w:r>
        <w:rPr>
          <w:rFonts w:ascii="Arial" w:hAnsi="Arial" w:cs="Arial"/>
          <w:color w:val="auto"/>
          <w:szCs w:val="21"/>
          <w:highlight w:val="none"/>
        </w:rPr>
        <w:t>按科室汇总生成</w:t>
      </w:r>
      <w:r>
        <w:rPr>
          <w:rFonts w:hint="eastAsia" w:ascii="Arial" w:hAnsi="Arial" w:cs="Arial"/>
          <w:color w:val="auto"/>
          <w:szCs w:val="21"/>
          <w:highlight w:val="none"/>
        </w:rPr>
        <w:t>物品销售单</w:t>
      </w:r>
      <w:r>
        <w:rPr>
          <w:rFonts w:ascii="Arial" w:hAnsi="Arial" w:cs="Arial"/>
          <w:color w:val="auto"/>
          <w:szCs w:val="21"/>
          <w:highlight w:val="none"/>
        </w:rPr>
        <w:t>指派给配送人员进行配送。</w:t>
      </w:r>
    </w:p>
    <w:p>
      <w:pPr>
        <w:spacing w:before="0" w:after="0" w:line="400" w:lineRule="exact"/>
        <w:outlineLvl w:val="9"/>
        <w:rPr>
          <w:rFonts w:ascii="Arial" w:hAnsi="Arial" w:cs="Arial"/>
          <w:b w:val="0"/>
          <w:bCs w:val="0"/>
          <w:color w:val="auto"/>
          <w:szCs w:val="21"/>
          <w:highlight w:val="none"/>
        </w:rPr>
      </w:pPr>
      <w:bookmarkStart w:id="29" w:name="_Toc14279"/>
      <w:r>
        <w:rPr>
          <w:rFonts w:ascii="Arial" w:hAnsi="Arial" w:cs="Arial"/>
          <w:b w:val="0"/>
          <w:bCs w:val="0"/>
          <w:color w:val="auto"/>
          <w:sz w:val="21"/>
          <w:szCs w:val="21"/>
          <w:highlight w:val="none"/>
        </w:rPr>
        <w:t>④科室签收</w:t>
      </w:r>
      <w:bookmarkEnd w:id="29"/>
    </w:p>
    <w:p>
      <w:pPr>
        <w:spacing w:line="400" w:lineRule="exact"/>
        <w:outlineLvl w:val="9"/>
        <w:rPr>
          <w:rFonts w:ascii="Arial" w:hAnsi="Arial" w:cs="Arial"/>
          <w:color w:val="auto"/>
          <w:szCs w:val="21"/>
          <w:highlight w:val="none"/>
        </w:rPr>
      </w:pPr>
      <w:r>
        <w:rPr>
          <w:rFonts w:ascii="Arial" w:hAnsi="Arial" w:cs="Arial"/>
          <w:color w:val="auto"/>
          <w:szCs w:val="21"/>
          <w:highlight w:val="none"/>
        </w:rPr>
        <w:t>配送员根据</w:t>
      </w:r>
      <w:r>
        <w:rPr>
          <w:rFonts w:hint="eastAsia" w:ascii="Arial" w:hAnsi="Arial" w:cs="Arial"/>
          <w:color w:val="auto"/>
          <w:szCs w:val="21"/>
          <w:highlight w:val="none"/>
        </w:rPr>
        <w:t>物品销售单</w:t>
      </w:r>
      <w:r>
        <w:rPr>
          <w:rFonts w:ascii="Arial" w:hAnsi="Arial" w:cs="Arial"/>
          <w:color w:val="auto"/>
          <w:szCs w:val="21"/>
          <w:highlight w:val="none"/>
        </w:rPr>
        <w:t>运送物资至科室，科室员工根据</w:t>
      </w:r>
      <w:r>
        <w:rPr>
          <w:rFonts w:hint="eastAsia" w:ascii="Arial" w:hAnsi="Arial" w:cs="Arial"/>
          <w:color w:val="auto"/>
          <w:szCs w:val="21"/>
          <w:highlight w:val="none"/>
        </w:rPr>
        <w:t>销售单</w:t>
      </w:r>
      <w:r>
        <w:rPr>
          <w:rFonts w:ascii="Arial" w:hAnsi="Arial" w:cs="Arial"/>
          <w:color w:val="auto"/>
          <w:szCs w:val="21"/>
          <w:highlight w:val="none"/>
        </w:rPr>
        <w:t>核对物资信息。核对无误后，科室人员进行单据签字确认。如果物资核对不符或不合格，则要求物资配送员找回物资，重新核对物资。</w:t>
      </w:r>
    </w:p>
    <w:p>
      <w:pPr>
        <w:spacing w:before="0" w:after="0" w:line="400" w:lineRule="exact"/>
        <w:outlineLvl w:val="9"/>
        <w:rPr>
          <w:rFonts w:ascii="Arial" w:hAnsi="Arial" w:cs="Arial"/>
          <w:b w:val="0"/>
          <w:bCs w:val="0"/>
          <w:color w:val="auto"/>
          <w:sz w:val="21"/>
          <w:szCs w:val="21"/>
          <w:highlight w:val="none"/>
        </w:rPr>
      </w:pPr>
      <w:bookmarkStart w:id="30" w:name="_Toc26157"/>
      <w:r>
        <w:rPr>
          <w:rFonts w:ascii="Arial" w:hAnsi="Arial" w:cs="Arial"/>
          <w:b w:val="0"/>
          <w:bCs w:val="0"/>
          <w:color w:val="auto"/>
          <w:sz w:val="21"/>
          <w:szCs w:val="21"/>
          <w:highlight w:val="none"/>
        </w:rPr>
        <w:t>⑤科室评价</w:t>
      </w:r>
      <w:bookmarkEnd w:id="30"/>
    </w:p>
    <w:p>
      <w:pPr>
        <w:spacing w:line="400" w:lineRule="exact"/>
        <w:outlineLvl w:val="9"/>
        <w:rPr>
          <w:rFonts w:ascii="Arial" w:hAnsi="Arial" w:cs="Arial"/>
          <w:color w:val="auto"/>
          <w:szCs w:val="21"/>
          <w:highlight w:val="none"/>
        </w:rPr>
      </w:pPr>
      <w:r>
        <w:rPr>
          <w:rFonts w:hint="eastAsia" w:ascii="Arial" w:hAnsi="Arial" w:cs="Arial"/>
          <w:color w:val="auto"/>
          <w:szCs w:val="21"/>
          <w:highlight w:val="none"/>
        </w:rPr>
        <w:t>手</w:t>
      </w:r>
      <w:r>
        <w:rPr>
          <w:rFonts w:ascii="Arial" w:hAnsi="Arial" w:cs="Arial"/>
          <w:color w:val="auto"/>
          <w:szCs w:val="21"/>
          <w:highlight w:val="none"/>
        </w:rPr>
        <w:t>机APP端/手机小程序端/PC端对配送任务进行分级评价。</w:t>
      </w:r>
    </w:p>
    <w:p>
      <w:pPr>
        <w:spacing w:before="0" w:after="0" w:line="400" w:lineRule="exact"/>
        <w:outlineLvl w:val="9"/>
        <w:rPr>
          <w:rFonts w:ascii="Arial" w:hAnsi="Arial" w:cs="Arial"/>
          <w:color w:val="auto"/>
          <w:sz w:val="21"/>
          <w:szCs w:val="21"/>
          <w:highlight w:val="none"/>
        </w:rPr>
      </w:pPr>
      <w:bookmarkStart w:id="31" w:name="_Toc10235"/>
      <w:bookmarkStart w:id="32" w:name="_Toc25116"/>
      <w:bookmarkStart w:id="33" w:name="_Toc443565621"/>
      <w:bookmarkStart w:id="34" w:name="_Toc452199564"/>
      <w:bookmarkStart w:id="35" w:name="_Toc399172487"/>
      <w:r>
        <w:rPr>
          <w:rFonts w:ascii="Arial" w:hAnsi="Arial" w:cs="Arial"/>
          <w:color w:val="auto"/>
          <w:sz w:val="21"/>
          <w:szCs w:val="21"/>
          <w:highlight w:val="none"/>
        </w:rPr>
        <w:t>3.1.1.7 基础档案管理</w:t>
      </w:r>
      <w:bookmarkEnd w:id="31"/>
      <w:bookmarkEnd w:id="32"/>
      <w:bookmarkEnd w:id="33"/>
      <w:bookmarkEnd w:id="34"/>
      <w:bookmarkEnd w:id="35"/>
    </w:p>
    <w:p>
      <w:pPr>
        <w:spacing w:before="0" w:after="0" w:line="400" w:lineRule="exact"/>
        <w:jc w:val="left"/>
        <w:outlineLvl w:val="9"/>
        <w:rPr>
          <w:rFonts w:eastAsia="宋体" w:cs="Arial"/>
          <w:color w:val="auto"/>
          <w:kern w:val="2"/>
          <w:sz w:val="21"/>
          <w:szCs w:val="21"/>
          <w:highlight w:val="none"/>
        </w:rPr>
      </w:pPr>
      <w:bookmarkStart w:id="36" w:name="_Toc500802522"/>
      <w:r>
        <w:rPr>
          <w:rFonts w:eastAsia="宋体" w:cs="Arial"/>
          <w:color w:val="auto"/>
          <w:kern w:val="2"/>
          <w:sz w:val="21"/>
          <w:szCs w:val="21"/>
          <w:highlight w:val="none"/>
        </w:rPr>
        <w:t>①概述</w:t>
      </w:r>
      <w:bookmarkEnd w:id="36"/>
      <w:r>
        <w:rPr>
          <w:rFonts w:eastAsia="宋体" w:cs="Arial"/>
          <w:color w:val="auto"/>
          <w:kern w:val="2"/>
          <w:sz w:val="21"/>
          <w:szCs w:val="21"/>
          <w:highlight w:val="none"/>
        </w:rPr>
        <w:t>：系统档案对采购人信息进行建模，以便对物资配送系统的使用提供基础支撑。</w:t>
      </w:r>
    </w:p>
    <w:p>
      <w:pPr>
        <w:spacing w:before="0" w:after="0" w:line="400" w:lineRule="exact"/>
        <w:jc w:val="left"/>
        <w:outlineLvl w:val="9"/>
        <w:rPr>
          <w:rFonts w:eastAsia="宋体" w:cs="Arial"/>
          <w:color w:val="auto"/>
          <w:kern w:val="2"/>
          <w:sz w:val="21"/>
          <w:szCs w:val="21"/>
          <w:highlight w:val="none"/>
        </w:rPr>
      </w:pPr>
      <w:bookmarkStart w:id="37" w:name="_Toc500802523"/>
      <w:r>
        <w:rPr>
          <w:rFonts w:eastAsia="宋体" w:cs="Arial"/>
          <w:color w:val="auto"/>
          <w:kern w:val="2"/>
          <w:sz w:val="21"/>
          <w:szCs w:val="21"/>
          <w:highlight w:val="none"/>
        </w:rPr>
        <w:t>②物资基本信息管理</w:t>
      </w:r>
      <w:bookmarkEnd w:id="37"/>
      <w:r>
        <w:rPr>
          <w:rFonts w:eastAsia="宋体" w:cs="Arial"/>
          <w:color w:val="auto"/>
          <w:kern w:val="2"/>
          <w:sz w:val="21"/>
          <w:szCs w:val="21"/>
          <w:highlight w:val="none"/>
        </w:rPr>
        <w:t>：维护采购人用到的物资分类及物资基本信息，包括物资名称、物资规格、计量单位、单价等，每个物资信息系统都会自动生成一个唯一的编码，方便系统跟踪。</w:t>
      </w:r>
    </w:p>
    <w:p>
      <w:pPr>
        <w:spacing w:before="0" w:after="0" w:line="400" w:lineRule="exact"/>
        <w:jc w:val="left"/>
        <w:outlineLvl w:val="9"/>
        <w:rPr>
          <w:rFonts w:eastAsia="宋体" w:cs="Arial"/>
          <w:color w:val="auto"/>
          <w:kern w:val="2"/>
          <w:sz w:val="21"/>
          <w:szCs w:val="21"/>
          <w:highlight w:val="none"/>
        </w:rPr>
      </w:pPr>
      <w:bookmarkStart w:id="38" w:name="_Toc500802525"/>
      <w:r>
        <w:rPr>
          <w:rFonts w:eastAsia="宋体" w:cs="Arial"/>
          <w:color w:val="auto"/>
          <w:kern w:val="2"/>
          <w:sz w:val="21"/>
          <w:szCs w:val="21"/>
          <w:highlight w:val="none"/>
        </w:rPr>
        <w:t>③供应商信息管理</w:t>
      </w:r>
      <w:bookmarkEnd w:id="38"/>
      <w:r>
        <w:rPr>
          <w:rFonts w:eastAsia="宋体" w:cs="Arial"/>
          <w:color w:val="auto"/>
          <w:kern w:val="2"/>
          <w:sz w:val="21"/>
          <w:szCs w:val="21"/>
          <w:highlight w:val="none"/>
        </w:rPr>
        <w:t>：维护医院物资采购供应商、服务供应商的基本信息，具体内容包括：供应商名称、工商注册号、联系地址、联系人等。</w:t>
      </w:r>
    </w:p>
    <w:p>
      <w:pPr>
        <w:spacing w:before="0" w:after="0" w:line="400" w:lineRule="exact"/>
        <w:outlineLvl w:val="9"/>
        <w:rPr>
          <w:rFonts w:ascii="Arial" w:hAnsi="Arial" w:cs="Arial"/>
          <w:color w:val="auto"/>
          <w:sz w:val="21"/>
          <w:szCs w:val="21"/>
          <w:highlight w:val="none"/>
        </w:rPr>
      </w:pPr>
      <w:bookmarkStart w:id="39" w:name="_Toc20318"/>
      <w:r>
        <w:rPr>
          <w:rFonts w:ascii="Arial" w:hAnsi="Arial" w:cs="Arial"/>
          <w:color w:val="auto"/>
          <w:sz w:val="21"/>
          <w:szCs w:val="21"/>
          <w:highlight w:val="none"/>
        </w:rPr>
        <w:t>3.1.1.8 发票结算管理</w:t>
      </w:r>
      <w:bookmarkEnd w:id="39"/>
    </w:p>
    <w:p>
      <w:pPr>
        <w:spacing w:line="400" w:lineRule="exact"/>
        <w:outlineLvl w:val="9"/>
        <w:rPr>
          <w:rFonts w:ascii="Arial" w:hAnsi="Arial" w:cs="Arial"/>
          <w:b/>
          <w:bCs/>
          <w:color w:val="auto"/>
          <w:szCs w:val="21"/>
          <w:highlight w:val="none"/>
        </w:rPr>
      </w:pPr>
      <w:r>
        <w:rPr>
          <w:rFonts w:ascii="Arial" w:hAnsi="Arial" w:cs="Arial"/>
          <w:color w:val="auto"/>
          <w:szCs w:val="21"/>
          <w:highlight w:val="none"/>
        </w:rPr>
        <w:t>根据已录入到系统的发票，匹配已完成配送的订单明细，生成付款申请单，进行付款进度的跟踪。</w:t>
      </w:r>
    </w:p>
    <w:p>
      <w:pPr>
        <w:pStyle w:val="5"/>
        <w:outlineLvl w:val="9"/>
        <w:rPr>
          <w:rFonts w:ascii="Arial" w:hAnsi="Arial" w:cs="Arial"/>
          <w:color w:val="auto"/>
          <w:highlight w:val="none"/>
        </w:rPr>
      </w:pPr>
      <w:r>
        <w:rPr>
          <w:rFonts w:ascii="Arial" w:hAnsi="Arial" w:cs="Arial"/>
          <w:b/>
          <w:bCs/>
          <w:color w:val="auto"/>
          <w:szCs w:val="21"/>
          <w:highlight w:val="none"/>
        </w:rPr>
        <w:t>4、具体物资清单详见附件“后勤物资清单”。</w:t>
      </w:r>
    </w:p>
    <w:p>
      <w:pPr>
        <w:spacing w:line="360" w:lineRule="auto"/>
        <w:outlineLvl w:val="1"/>
        <w:rPr>
          <w:rFonts w:ascii="Arial" w:hAnsi="Arial" w:eastAsia="黑体" w:cs="Arial"/>
          <w:b/>
          <w:color w:val="auto"/>
          <w:kern w:val="0"/>
          <w:sz w:val="28"/>
          <w:szCs w:val="28"/>
          <w:highlight w:val="none"/>
        </w:rPr>
      </w:pPr>
      <w:bookmarkStart w:id="41" w:name="_GoBack"/>
      <w:bookmarkEnd w:id="41"/>
      <w:r>
        <w:rPr>
          <w:rFonts w:ascii="Arial" w:hAnsi="Arial" w:eastAsia="黑体" w:cs="Arial"/>
          <w:b/>
          <w:color w:val="auto"/>
          <w:kern w:val="0"/>
          <w:sz w:val="28"/>
          <w:szCs w:val="28"/>
          <w:highlight w:val="none"/>
        </w:rPr>
        <w:t>三、商务要求</w:t>
      </w:r>
    </w:p>
    <w:p>
      <w:pPr>
        <w:spacing w:line="400" w:lineRule="exact"/>
        <w:rPr>
          <w:rFonts w:ascii="Arial" w:hAnsi="Arial" w:cs="Arial"/>
          <w:b/>
          <w:bCs/>
          <w:color w:val="auto"/>
          <w:kern w:val="0"/>
          <w:szCs w:val="21"/>
          <w:highlight w:val="none"/>
        </w:rPr>
      </w:pPr>
      <w:r>
        <w:rPr>
          <w:rFonts w:ascii="Arial" w:hAnsi="Arial" w:cs="Arial"/>
          <w:b/>
          <w:bCs/>
          <w:color w:val="auto"/>
          <w:szCs w:val="21"/>
          <w:highlight w:val="none"/>
        </w:rPr>
        <w:t>▲</w:t>
      </w:r>
      <w:r>
        <w:rPr>
          <w:rFonts w:ascii="Arial" w:hAnsi="Arial" w:cs="Arial"/>
          <w:b/>
          <w:bCs/>
          <w:color w:val="auto"/>
          <w:kern w:val="0"/>
          <w:szCs w:val="21"/>
          <w:highlight w:val="none"/>
        </w:rPr>
        <w:t>1、总体要求</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①物资供应：</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A、采购产品属于政府强制采购节能产品范围的，</w:t>
      </w:r>
      <w:r>
        <w:rPr>
          <w:rFonts w:hint="eastAsia"/>
          <w:color w:val="auto"/>
          <w:highlight w:val="none"/>
        </w:rPr>
        <w:t>供货时</w:t>
      </w:r>
      <w:r>
        <w:rPr>
          <w:rFonts w:ascii="Arial" w:hAnsi="Arial" w:cs="Arial"/>
          <w:color w:val="auto"/>
          <w:kern w:val="0"/>
          <w:szCs w:val="21"/>
          <w:highlight w:val="none"/>
        </w:rPr>
        <w:t>供应商必须按“节能产品政府采购清单”提供节能产品，否则将被拒绝；采购产品同时列入“环境标志产品政府采购清单”的，优先采购列入该清单的产品。</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B、如有定制印刷品应从印刷服务定点采购供应商或经医院审核的供应商中进行采购。</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C、</w:t>
      </w:r>
      <w:r>
        <w:rPr>
          <w:rFonts w:ascii="Arial" w:hAnsi="Arial" w:cs="Arial"/>
          <w:color w:val="auto"/>
          <w:szCs w:val="21"/>
          <w:highlight w:val="none"/>
        </w:rPr>
        <w:t>医院后勤物资供应链</w:t>
      </w:r>
      <w:r>
        <w:rPr>
          <w:rFonts w:ascii="Arial" w:hAnsi="Arial" w:cs="Arial"/>
          <w:color w:val="auto"/>
          <w:kern w:val="0"/>
          <w:szCs w:val="21"/>
          <w:highlight w:val="none"/>
        </w:rPr>
        <w:t>管理系统软件：不限制站点，能在采购人所有科室安装使用，</w:t>
      </w:r>
      <w:r>
        <w:rPr>
          <w:rFonts w:ascii="Arial" w:hAnsi="Arial" w:cs="Arial"/>
          <w:color w:val="auto"/>
          <w:highlight w:val="none"/>
        </w:rPr>
        <w:t>能够根据采购人的需要进行软件定制，</w:t>
      </w:r>
      <w:r>
        <w:rPr>
          <w:rFonts w:ascii="Arial" w:hAnsi="Arial" w:cs="Arial"/>
          <w:color w:val="auto"/>
          <w:kern w:val="0"/>
          <w:szCs w:val="21"/>
          <w:highlight w:val="none"/>
        </w:rPr>
        <w:t>满足个性化需求，服务期内免费维护更新。</w:t>
      </w:r>
    </w:p>
    <w:p>
      <w:pPr>
        <w:spacing w:line="400" w:lineRule="exact"/>
        <w:rPr>
          <w:rFonts w:ascii="Arial" w:hAnsi="Arial" w:cs="Arial"/>
          <w:color w:val="auto"/>
          <w:highlight w:val="none"/>
        </w:rPr>
      </w:pPr>
      <w:r>
        <w:rPr>
          <w:rFonts w:hint="eastAsia" w:ascii="Arial" w:hAnsi="Arial" w:cs="Arial"/>
          <w:color w:val="auto"/>
          <w:kern w:val="0"/>
          <w:szCs w:val="21"/>
          <w:highlight w:val="none"/>
        </w:rPr>
        <w:t>D</w:t>
      </w:r>
      <w:r>
        <w:rPr>
          <w:rFonts w:ascii="Arial" w:hAnsi="Arial" w:cs="Arial"/>
          <w:color w:val="auto"/>
          <w:highlight w:val="none"/>
        </w:rPr>
        <w:t>、医院后勤仓库现有的同类物资（不含近半年未使用的物资、待报废物资、不再使用或残破等影响使用的物资）清点后，由采购人运到供应商指定的仓库，交由供应商进行为期一年的不收取费用托管。在托管期间，供应商将托管物资上架到系统中，在需要配送的时候由供应商配送人员实施配送直到该部分物资发放完毕。同类物资应优先发放医院托管的库存物资，待该部分物资发放完成后才能重新采购上架并在供应商的仓库中存储。</w:t>
      </w:r>
    </w:p>
    <w:p>
      <w:pPr>
        <w:rPr>
          <w:rFonts w:ascii="Arial" w:hAnsi="Arial" w:cs="Arial"/>
          <w:b/>
          <w:bCs/>
          <w:color w:val="auto"/>
          <w:highlight w:val="none"/>
          <w:u w:val="single"/>
        </w:rPr>
      </w:pPr>
      <w:r>
        <w:rPr>
          <w:rFonts w:hint="eastAsia" w:ascii="Arial" w:hAnsi="Arial" w:cs="Arial"/>
          <w:b/>
          <w:bCs/>
          <w:color w:val="auto"/>
          <w:highlight w:val="none"/>
          <w:u w:val="single"/>
        </w:rPr>
        <w:t>E</w:t>
      </w:r>
      <w:r>
        <w:rPr>
          <w:rFonts w:ascii="Arial" w:hAnsi="Arial" w:cs="Arial"/>
          <w:b/>
          <w:bCs/>
          <w:color w:val="auto"/>
          <w:highlight w:val="none"/>
          <w:u w:val="single"/>
        </w:rPr>
        <w:t>、供应商必须保证供应投标文件中物资清单内同品牌同规格型号的商品。</w:t>
      </w:r>
    </w:p>
    <w:p>
      <w:pPr>
        <w:spacing w:line="400" w:lineRule="exact"/>
        <w:rPr>
          <w:rFonts w:hint="eastAsia" w:ascii="Arial" w:hAnsi="Arial" w:cs="Arial"/>
          <w:b/>
          <w:bCs/>
          <w:color w:val="auto"/>
          <w:highlight w:val="none"/>
        </w:rPr>
      </w:pPr>
      <w:r>
        <w:rPr>
          <w:rFonts w:hint="eastAsia" w:ascii="Arial" w:hAnsi="Arial" w:cs="Arial"/>
          <w:b/>
          <w:bCs/>
          <w:color w:val="auto"/>
          <w:highlight w:val="none"/>
        </w:rPr>
        <w:t>F、供应商须保证签订合同前具备政府采购云平台电子卖场（https://www.zcygov.cn/）供应商资质。</w:t>
      </w:r>
    </w:p>
    <w:p>
      <w:pPr>
        <w:spacing w:line="400" w:lineRule="exact"/>
        <w:rPr>
          <w:rFonts w:ascii="Arial" w:hAnsi="Arial" w:cs="Arial"/>
          <w:b/>
          <w:bCs/>
          <w:color w:val="auto"/>
          <w:kern w:val="0"/>
          <w:szCs w:val="21"/>
          <w:highlight w:val="none"/>
        </w:rPr>
      </w:pPr>
      <w:r>
        <w:rPr>
          <w:rFonts w:ascii="Arial" w:hAnsi="Arial" w:cs="Arial"/>
          <w:b/>
          <w:bCs/>
          <w:color w:val="auto"/>
          <w:szCs w:val="21"/>
          <w:highlight w:val="none"/>
        </w:rPr>
        <w:t>▲</w:t>
      </w:r>
      <w:r>
        <w:rPr>
          <w:rFonts w:ascii="Arial" w:hAnsi="Arial" w:cs="Arial"/>
          <w:b/>
          <w:bCs/>
          <w:color w:val="auto"/>
          <w:kern w:val="0"/>
          <w:szCs w:val="21"/>
          <w:highlight w:val="none"/>
        </w:rPr>
        <w:t>2、报价要求</w:t>
      </w:r>
    </w:p>
    <w:p>
      <w:pPr>
        <w:spacing w:line="400" w:lineRule="exact"/>
        <w:rPr>
          <w:color w:val="auto"/>
        </w:rPr>
      </w:pPr>
      <w:r>
        <w:rPr>
          <w:rFonts w:ascii="Arial" w:hAnsi="Arial" w:cs="Arial"/>
          <w:color w:val="auto"/>
          <w:kern w:val="0"/>
          <w:szCs w:val="21"/>
          <w:highlight w:val="none"/>
        </w:rPr>
        <w:t>①</w:t>
      </w:r>
      <w:r>
        <w:rPr>
          <w:rFonts w:hint="eastAsia" w:ascii="Arial" w:hAnsi="Arial" w:cs="Arial"/>
          <w:color w:val="auto"/>
          <w:kern w:val="0"/>
          <w:szCs w:val="21"/>
          <w:highlight w:val="none"/>
          <w:lang w:val="en-US" w:eastAsia="zh-CN"/>
        </w:rPr>
        <w:t>按照</w:t>
      </w:r>
      <w:r>
        <w:rPr>
          <w:rFonts w:ascii="Arial" w:hAnsi="Arial" w:cs="Arial"/>
          <w:color w:val="auto"/>
          <w:kern w:val="0"/>
          <w:szCs w:val="21"/>
          <w:highlight w:val="none"/>
        </w:rPr>
        <w:t>附件“后勤物资清单”</w:t>
      </w:r>
      <w:r>
        <w:rPr>
          <w:rFonts w:hint="eastAsia" w:ascii="Arial" w:hAnsi="Arial" w:cs="Arial"/>
          <w:color w:val="auto"/>
          <w:kern w:val="0"/>
          <w:szCs w:val="21"/>
          <w:highlight w:val="none"/>
          <w:lang w:val="en-US" w:eastAsia="zh-CN"/>
        </w:rPr>
        <w:t>进行逐项报价</w:t>
      </w:r>
      <w:r>
        <w:rPr>
          <w:rFonts w:ascii="Arial" w:hAnsi="Arial" w:cs="Arial"/>
          <w:color w:val="auto"/>
          <w:kern w:val="0"/>
          <w:szCs w:val="21"/>
          <w:highlight w:val="none"/>
        </w:rPr>
        <w:t>。</w:t>
      </w:r>
      <w:r>
        <w:rPr>
          <w:rFonts w:hint="eastAsia"/>
          <w:color w:val="auto"/>
          <w:szCs w:val="21"/>
          <w:lang w:val="en-US" w:eastAsia="zh-CN"/>
        </w:rPr>
        <w:t>每项物资不得高于</w:t>
      </w:r>
      <w:r>
        <w:rPr>
          <w:rFonts w:ascii="Arial" w:hAnsi="Arial" w:cs="Arial"/>
          <w:color w:val="auto"/>
          <w:kern w:val="0"/>
          <w:szCs w:val="21"/>
          <w:highlight w:val="none"/>
        </w:rPr>
        <w:t>附件</w:t>
      </w:r>
      <w:r>
        <w:rPr>
          <w:rFonts w:hint="eastAsia"/>
          <w:color w:val="auto"/>
          <w:szCs w:val="21"/>
          <w:lang w:val="en-US" w:eastAsia="zh-CN"/>
        </w:rPr>
        <w:t>《后勤物资清单》中的单价控价，否则按照无效</w:t>
      </w:r>
      <w:r>
        <w:rPr>
          <w:rFonts w:hint="eastAsia" w:ascii="Times New Roman" w:hAnsi="Times New Roman" w:eastAsia="宋体" w:cs="Times New Roman"/>
          <w:color w:val="auto"/>
          <w:szCs w:val="21"/>
          <w:lang w:val="en-US" w:eastAsia="zh-CN"/>
        </w:rPr>
        <w:t>报价处理。结算时按实际使用量乘以成交单价进行计算。</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②供应商的报价包含运输、配送、安装、调试、税金等所有费用。</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③</w:t>
      </w:r>
      <w:r>
        <w:rPr>
          <w:rFonts w:hint="eastAsia" w:ascii="Arial" w:hAnsi="Arial" w:cs="Arial"/>
          <w:color w:val="auto"/>
          <w:kern w:val="0"/>
          <w:szCs w:val="21"/>
          <w:highlight w:val="none"/>
        </w:rPr>
        <w:t>采购商品如在厂家京东旗舰店、天猫旗舰店电子卖场有售的，售价应以京东自营店、厂家京东旗舰店、天猫旗舰店平台电子卖场上的最低价为准（促销活动价格除外）</w:t>
      </w:r>
      <w:r>
        <w:rPr>
          <w:rFonts w:ascii="Arial" w:hAnsi="Arial" w:cs="Arial"/>
          <w:color w:val="auto"/>
          <w:kern w:val="0"/>
          <w:szCs w:val="21"/>
          <w:highlight w:val="none"/>
        </w:rPr>
        <w:t>。</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④非</w:t>
      </w:r>
      <w:r>
        <w:rPr>
          <w:rFonts w:hint="eastAsia" w:ascii="Arial" w:hAnsi="Arial" w:cs="Arial"/>
          <w:color w:val="auto"/>
          <w:kern w:val="0"/>
          <w:szCs w:val="21"/>
          <w:highlight w:val="none"/>
          <w:lang w:val="en-US" w:eastAsia="zh-CN"/>
        </w:rPr>
        <w:t>附件</w:t>
      </w:r>
      <w:r>
        <w:rPr>
          <w:rFonts w:hint="eastAsia"/>
          <w:color w:val="auto"/>
          <w:szCs w:val="21"/>
          <w:lang w:val="en-US" w:eastAsia="zh-CN"/>
        </w:rPr>
        <w:t>《后勤物资清单》</w:t>
      </w:r>
      <w:r>
        <w:rPr>
          <w:rFonts w:hint="eastAsia" w:ascii="Arial" w:hAnsi="Arial" w:cs="Arial"/>
          <w:color w:val="auto"/>
          <w:kern w:val="0"/>
          <w:szCs w:val="21"/>
          <w:highlight w:val="none"/>
          <w:lang w:val="en-US" w:eastAsia="zh-CN"/>
        </w:rPr>
        <w:t>内</w:t>
      </w:r>
      <w:r>
        <w:rPr>
          <w:rFonts w:ascii="Arial" w:hAnsi="Arial" w:cs="Arial"/>
          <w:color w:val="auto"/>
          <w:kern w:val="0"/>
          <w:szCs w:val="21"/>
          <w:highlight w:val="none"/>
        </w:rPr>
        <w:t>商品价格按以下方式确定：</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A、</w:t>
      </w:r>
      <w:r>
        <w:rPr>
          <w:rFonts w:hint="eastAsia" w:ascii="Arial" w:hAnsi="Arial" w:eastAsia="宋体" w:cs="Arial"/>
          <w:color w:val="auto"/>
          <w:kern w:val="0"/>
          <w:szCs w:val="21"/>
          <w:highlight w:val="none"/>
        </w:rPr>
        <w:t>商品在厂家京东旗舰店、天猫旗舰店有售的，售价应不高于</w:t>
      </w:r>
      <w:r>
        <w:rPr>
          <w:rFonts w:hint="eastAsia" w:ascii="Arial" w:hAnsi="Arial" w:cs="Arial"/>
          <w:color w:val="auto"/>
          <w:szCs w:val="21"/>
          <w:highlight w:val="none"/>
          <w:lang w:val="en-US" w:eastAsia="zh-CN"/>
        </w:rPr>
        <w:t>京东自营店、</w:t>
      </w:r>
      <w:r>
        <w:rPr>
          <w:rFonts w:hint="eastAsia" w:ascii="Arial" w:hAnsi="Arial" w:eastAsia="宋体" w:cs="Arial"/>
          <w:color w:val="auto"/>
          <w:kern w:val="0"/>
          <w:szCs w:val="21"/>
          <w:highlight w:val="none"/>
        </w:rPr>
        <w:t>厂家京东旗舰店、天猫旗舰店平台上的（促销活动价格除外）</w:t>
      </w:r>
      <w:r>
        <w:rPr>
          <w:rFonts w:hint="eastAsia" w:ascii="Arial" w:hAnsi="Arial" w:eastAsia="宋体" w:cs="Arial"/>
          <w:color w:val="auto"/>
          <w:kern w:val="0"/>
          <w:szCs w:val="21"/>
          <w:highlight w:val="none"/>
          <w:lang w:eastAsia="zh-CN"/>
        </w:rPr>
        <w:t>，无旗舰店的，以京东、天猫销量最大的店铺价格为参考</w:t>
      </w:r>
      <w:r>
        <w:rPr>
          <w:rFonts w:hint="eastAsia" w:ascii="Arial" w:hAnsi="Arial" w:eastAsia="宋体" w:cs="Arial"/>
          <w:color w:val="auto"/>
          <w:kern w:val="0"/>
          <w:szCs w:val="21"/>
          <w:highlight w:val="none"/>
        </w:rPr>
        <w:t>。</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B、商品在厂家京东旗舰店平台电子卖场没有销售，单价需经采购人采购部门和审计部门审核确定。</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⑤所有商品价格不高于政采云网上商城同品牌型号或同档次品牌产品</w:t>
      </w:r>
      <w:r>
        <w:rPr>
          <w:rFonts w:hint="eastAsia" w:ascii="Arial" w:hAnsi="Arial" w:cs="Arial"/>
          <w:color w:val="auto"/>
          <w:kern w:val="0"/>
          <w:szCs w:val="21"/>
          <w:highlight w:val="none"/>
        </w:rPr>
        <w:t>最低</w:t>
      </w:r>
      <w:r>
        <w:rPr>
          <w:rFonts w:ascii="Arial" w:hAnsi="Arial" w:cs="Arial"/>
          <w:color w:val="auto"/>
          <w:kern w:val="0"/>
          <w:szCs w:val="21"/>
          <w:highlight w:val="none"/>
        </w:rPr>
        <w:t>价格（促销活动价格除外）。</w:t>
      </w:r>
    </w:p>
    <w:p>
      <w:pPr>
        <w:spacing w:line="400" w:lineRule="exact"/>
        <w:rPr>
          <w:rFonts w:ascii="Arial" w:hAnsi="Arial" w:cs="Arial"/>
          <w:b/>
          <w:bCs/>
          <w:color w:val="auto"/>
          <w:kern w:val="0"/>
          <w:szCs w:val="21"/>
          <w:highlight w:val="none"/>
        </w:rPr>
      </w:pPr>
      <w:r>
        <w:rPr>
          <w:rFonts w:ascii="Arial" w:hAnsi="Arial" w:cs="Arial"/>
          <w:b/>
          <w:bCs/>
          <w:color w:val="auto"/>
          <w:kern w:val="0"/>
          <w:szCs w:val="21"/>
          <w:highlight w:val="none"/>
        </w:rPr>
        <w:t>3、售后及服务要求</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①物资供应：符合国家质量及行业标准，产品包装完整，品牌产地标注明确，满足</w:t>
      </w:r>
      <w:r>
        <w:rPr>
          <w:rFonts w:ascii="Arial" w:hAnsi="Arial" w:cs="Arial"/>
          <w:color w:val="auto"/>
          <w:highlight w:val="none"/>
        </w:rPr>
        <w:t>采购人</w:t>
      </w:r>
      <w:r>
        <w:rPr>
          <w:rFonts w:ascii="Arial" w:hAnsi="Arial" w:cs="Arial"/>
          <w:color w:val="auto"/>
          <w:kern w:val="0"/>
          <w:szCs w:val="21"/>
          <w:highlight w:val="none"/>
        </w:rPr>
        <w:t>对质量、规格和性能要求，对由于设计、工艺或材料的缺陷而产生的质量问题负责。如出现所供商品不符合相关要求，采购人有权拒收或退货，由此产生的一切责任和后果由供应商承担，质保期不得低于国家标准及产品自身标注的质保期。对由于质量问题出现的退、换货，需要在2小时内响应，并在8小时内处理完毕，情况特殊的处置时间不能超过2天。</w:t>
      </w:r>
    </w:p>
    <w:p>
      <w:pPr>
        <w:spacing w:line="400" w:lineRule="exact"/>
        <w:rPr>
          <w:rFonts w:ascii="Arial" w:hAnsi="Arial" w:cs="Arial"/>
          <w:color w:val="auto"/>
          <w:kern w:val="0"/>
          <w:szCs w:val="21"/>
          <w:highlight w:val="none"/>
        </w:rPr>
      </w:pPr>
      <w:r>
        <w:rPr>
          <w:rFonts w:ascii="Arial" w:hAnsi="Arial" w:cs="Arial"/>
          <w:color w:val="auto"/>
          <w:kern w:val="0"/>
          <w:szCs w:val="21"/>
          <w:highlight w:val="none"/>
        </w:rPr>
        <w:t>②</w:t>
      </w:r>
      <w:r>
        <w:rPr>
          <w:rFonts w:ascii="Arial" w:hAnsi="Arial" w:cs="Arial"/>
          <w:color w:val="auto"/>
          <w:szCs w:val="21"/>
          <w:highlight w:val="none"/>
        </w:rPr>
        <w:t>医院后勤物资供应链</w:t>
      </w:r>
      <w:r>
        <w:rPr>
          <w:rFonts w:ascii="Arial" w:hAnsi="Arial" w:cs="Arial"/>
          <w:color w:val="auto"/>
          <w:kern w:val="0"/>
          <w:szCs w:val="21"/>
          <w:highlight w:val="none"/>
        </w:rPr>
        <w:t>管理系统软件：服务期内免费对系统进行维护更新，软件版本为厂家最新版本。供应商为医院提供系统集成服务的规划、实施、维护，并且制定相应的应急方案，由于中心机房的硬件设备或软件出现的原因导致医院业务中断，供应商必须在规定时间内响应和到达现场处理故障（运营第一至第三个月，0.5小时内响应，</w:t>
      </w:r>
      <w:r>
        <w:rPr>
          <w:rFonts w:hint="eastAsia" w:ascii="Arial" w:hAnsi="Arial" w:cs="Arial"/>
          <w:color w:val="auto"/>
          <w:kern w:val="0"/>
          <w:szCs w:val="21"/>
          <w:highlight w:val="none"/>
          <w:lang w:val="en-US" w:eastAsia="zh-CN"/>
        </w:rPr>
        <w:t>2</w:t>
      </w:r>
      <w:r>
        <w:rPr>
          <w:rFonts w:ascii="Arial" w:hAnsi="Arial" w:cs="Arial"/>
          <w:color w:val="auto"/>
          <w:kern w:val="0"/>
          <w:szCs w:val="21"/>
          <w:highlight w:val="none"/>
        </w:rPr>
        <w:t>小时内到达现场处理故障；运营第四个月开始，0.5小时内响应，2小时内到达现场处理故障。），配合医院启动应急方案，要时派技术人员现场处理，在1天之内解决问题（确因其他供应商供应的硬件原因引起的故障，供应商有义务协助解决）。</w:t>
      </w:r>
    </w:p>
    <w:p>
      <w:pPr>
        <w:spacing w:line="400" w:lineRule="exact"/>
        <w:rPr>
          <w:rFonts w:ascii="Arial" w:hAnsi="Arial" w:cs="Arial"/>
          <w:color w:val="auto"/>
          <w:kern w:val="0"/>
          <w:szCs w:val="21"/>
          <w:highlight w:val="none"/>
        </w:rPr>
      </w:pPr>
      <w:r>
        <w:rPr>
          <w:rFonts w:ascii="Arial" w:hAnsi="Arial" w:cs="Arial"/>
          <w:color w:val="auto"/>
          <w:szCs w:val="21"/>
          <w:highlight w:val="none"/>
        </w:rPr>
        <w:t>▲</w:t>
      </w:r>
      <w:r>
        <w:rPr>
          <w:rFonts w:ascii="Arial" w:hAnsi="Arial" w:cs="Arial"/>
          <w:color w:val="auto"/>
          <w:kern w:val="0"/>
          <w:szCs w:val="21"/>
          <w:highlight w:val="none"/>
        </w:rPr>
        <w:t>③</w:t>
      </w:r>
      <w:bookmarkStart w:id="40" w:name="_Hlk2839983"/>
      <w:r>
        <w:rPr>
          <w:rFonts w:ascii="Arial" w:hAnsi="Arial" w:cs="Arial"/>
          <w:color w:val="auto"/>
          <w:kern w:val="0"/>
          <w:szCs w:val="21"/>
          <w:highlight w:val="none"/>
        </w:rPr>
        <w:t>单次事件经采购人通知后，供应商未按承诺时间到场提供服务，采购人有权根据违约次数对供应商予以警告或处罚。（运营第一至第三个月，次数达2次，采购人予以警告，次数达3次及以上违约即按1000元/次进行处罚</w:t>
      </w:r>
      <w:bookmarkEnd w:id="40"/>
      <w:r>
        <w:rPr>
          <w:rFonts w:ascii="Arial" w:hAnsi="Arial" w:cs="Arial"/>
          <w:color w:val="auto"/>
          <w:kern w:val="0"/>
          <w:szCs w:val="21"/>
          <w:highlight w:val="none"/>
        </w:rPr>
        <w:t>；运营第四个月开始，次数达2次，采购人即按500元/次，次数达3次及以上违约即按1000元/次进行处罚）（仅限商品配送以及因为商品质量出现的问题）。</w:t>
      </w:r>
    </w:p>
    <w:p>
      <w:pPr>
        <w:numPr>
          <w:ilvl w:val="0"/>
          <w:numId w:val="1"/>
        </w:numPr>
        <w:spacing w:line="400" w:lineRule="exact"/>
        <w:rPr>
          <w:rFonts w:ascii="Arial" w:hAnsi="Arial" w:cs="Arial"/>
          <w:color w:val="auto"/>
          <w:kern w:val="0"/>
          <w:szCs w:val="21"/>
          <w:highlight w:val="none"/>
        </w:rPr>
      </w:pPr>
      <w:r>
        <w:rPr>
          <w:rFonts w:ascii="Arial" w:hAnsi="Arial" w:cs="Arial"/>
          <w:color w:val="auto"/>
          <w:kern w:val="0"/>
          <w:szCs w:val="21"/>
          <w:highlight w:val="none"/>
        </w:rPr>
        <w:t>采购方式：根据采购人要求的时间内分批采购，以采购人实际需求数量为准。</w:t>
      </w:r>
    </w:p>
    <w:p>
      <w:pPr>
        <w:spacing w:line="360" w:lineRule="auto"/>
        <w:rPr>
          <w:rFonts w:ascii="Arial" w:hAnsi="Arial" w:cs="Arial"/>
          <w:color w:val="auto"/>
          <w:kern w:val="0"/>
          <w:szCs w:val="21"/>
          <w:highlight w:val="none"/>
        </w:rPr>
      </w:pPr>
      <w:r>
        <w:rPr>
          <w:rFonts w:ascii="Arial" w:hAnsi="Arial" w:cs="Arial"/>
          <w:color w:val="auto"/>
          <w:szCs w:val="21"/>
          <w:highlight w:val="none"/>
        </w:rPr>
        <w:t>▲</w:t>
      </w:r>
      <w:r>
        <w:rPr>
          <w:rFonts w:ascii="Arial" w:hAnsi="Arial" w:cs="Arial"/>
          <w:color w:val="auto"/>
          <w:kern w:val="0"/>
          <w:szCs w:val="21"/>
          <w:highlight w:val="none"/>
        </w:rPr>
        <w:t>5、配送服务：采用固定配送和紧急配送相结合的模式。试运营第一个月每周配送两次，特殊情况下紧急物品每周免费提供两次</w:t>
      </w:r>
      <w:r>
        <w:rPr>
          <w:rFonts w:hint="eastAsia" w:ascii="Arial" w:hAnsi="Arial" w:cs="Arial"/>
          <w:color w:val="auto"/>
          <w:kern w:val="0"/>
          <w:szCs w:val="21"/>
          <w:highlight w:val="none"/>
          <w:lang w:val="en-US" w:eastAsia="zh-CN"/>
        </w:rPr>
        <w:t>紧急</w:t>
      </w:r>
      <w:r>
        <w:rPr>
          <w:rFonts w:ascii="Arial" w:hAnsi="Arial" w:cs="Arial"/>
          <w:color w:val="auto"/>
          <w:kern w:val="0"/>
          <w:szCs w:val="21"/>
          <w:highlight w:val="none"/>
        </w:rPr>
        <w:t>配送；第二个月开始每周配送两次，特殊情况下紧急物品可提供</w:t>
      </w:r>
      <w:r>
        <w:rPr>
          <w:rFonts w:hint="eastAsia" w:ascii="Arial" w:hAnsi="Arial" w:cs="Arial"/>
          <w:color w:val="auto"/>
          <w:kern w:val="0"/>
          <w:szCs w:val="21"/>
          <w:highlight w:val="none"/>
        </w:rPr>
        <w:t>每个科室每月4次</w:t>
      </w:r>
      <w:r>
        <w:rPr>
          <w:rFonts w:hint="eastAsia" w:ascii="Arial" w:hAnsi="Arial" w:cs="Arial"/>
          <w:color w:val="auto"/>
          <w:kern w:val="0"/>
          <w:szCs w:val="21"/>
          <w:highlight w:val="none"/>
          <w:lang w:val="en-US" w:eastAsia="zh-CN"/>
        </w:rPr>
        <w:t>紧急</w:t>
      </w:r>
      <w:r>
        <w:rPr>
          <w:rFonts w:ascii="Arial" w:hAnsi="Arial" w:cs="Arial"/>
          <w:color w:val="auto"/>
          <w:kern w:val="0"/>
          <w:szCs w:val="21"/>
          <w:highlight w:val="none"/>
        </w:rPr>
        <w:t>配送，申领部门应做好日常物品领用计划，以免增加配送物流成本，供应商每月免费提供</w:t>
      </w:r>
      <w:r>
        <w:rPr>
          <w:rFonts w:hint="eastAsia" w:ascii="Arial" w:hAnsi="Arial" w:cs="Arial"/>
          <w:color w:val="auto"/>
          <w:kern w:val="0"/>
          <w:szCs w:val="21"/>
          <w:highlight w:val="none"/>
        </w:rPr>
        <w:t>每个科室4次紧急配送</w:t>
      </w:r>
      <w:r>
        <w:rPr>
          <w:rFonts w:ascii="Arial" w:hAnsi="Arial" w:cs="Arial"/>
          <w:color w:val="auto"/>
          <w:kern w:val="0"/>
          <w:szCs w:val="21"/>
          <w:highlight w:val="none"/>
        </w:rPr>
        <w:t>，超出后为有偿服务，每次50元。供应商在节假日须安排人员值班，满足医院物资的应急需求。</w:t>
      </w:r>
    </w:p>
    <w:p>
      <w:pPr>
        <w:spacing w:line="360" w:lineRule="auto"/>
        <w:rPr>
          <w:rFonts w:ascii="Arial" w:hAnsi="Arial" w:cs="Arial"/>
          <w:color w:val="auto"/>
          <w:kern w:val="0"/>
          <w:szCs w:val="21"/>
          <w:highlight w:val="none"/>
        </w:rPr>
      </w:pPr>
      <w:r>
        <w:rPr>
          <w:rFonts w:ascii="Arial" w:hAnsi="Arial" w:cs="Arial"/>
          <w:color w:val="auto"/>
          <w:szCs w:val="21"/>
          <w:highlight w:val="none"/>
        </w:rPr>
        <w:t>▲</w:t>
      </w:r>
      <w:r>
        <w:rPr>
          <w:rFonts w:ascii="Arial" w:hAnsi="Arial" w:cs="Arial"/>
          <w:color w:val="auto"/>
          <w:kern w:val="0"/>
          <w:szCs w:val="21"/>
          <w:highlight w:val="none"/>
        </w:rPr>
        <w:t>6、服务期限：</w:t>
      </w:r>
      <w:r>
        <w:rPr>
          <w:rFonts w:hint="eastAsia" w:ascii="Arial" w:hAnsi="Arial" w:cs="Arial"/>
          <w:color w:val="auto"/>
          <w:kern w:val="0"/>
          <w:szCs w:val="21"/>
          <w:highlight w:val="none"/>
        </w:rPr>
        <w:t>合同签订之日起</w:t>
      </w:r>
      <w:r>
        <w:rPr>
          <w:rFonts w:hint="eastAsia" w:ascii="Arial" w:hAnsi="Arial" w:cs="Arial"/>
          <w:color w:val="auto"/>
          <w:kern w:val="0"/>
          <w:szCs w:val="21"/>
          <w:highlight w:val="none"/>
          <w:lang w:val="en-US" w:eastAsia="zh-CN"/>
        </w:rPr>
        <w:t>一</w:t>
      </w:r>
      <w:r>
        <w:rPr>
          <w:rFonts w:hint="eastAsia" w:ascii="Arial" w:hAnsi="Arial" w:cs="Arial"/>
          <w:color w:val="auto"/>
          <w:kern w:val="0"/>
          <w:szCs w:val="21"/>
          <w:highlight w:val="none"/>
        </w:rPr>
        <w:t>年</w:t>
      </w:r>
      <w:r>
        <w:rPr>
          <w:rFonts w:ascii="Arial" w:hAnsi="Arial" w:cs="Arial"/>
          <w:color w:val="auto"/>
          <w:kern w:val="0"/>
          <w:szCs w:val="21"/>
          <w:highlight w:val="none"/>
        </w:rPr>
        <w:t>。</w:t>
      </w:r>
    </w:p>
    <w:p>
      <w:pPr>
        <w:numPr>
          <w:ilvl w:val="0"/>
          <w:numId w:val="2"/>
        </w:numPr>
        <w:spacing w:line="360" w:lineRule="auto"/>
        <w:rPr>
          <w:rFonts w:ascii="Arial" w:hAnsi="Arial" w:eastAsia="宋体" w:cs="Arial"/>
          <w:color w:val="auto"/>
          <w:kern w:val="0"/>
          <w:szCs w:val="21"/>
          <w:highlight w:val="none"/>
        </w:rPr>
      </w:pPr>
      <w:r>
        <w:rPr>
          <w:rFonts w:ascii="Arial" w:hAnsi="Arial" w:cs="Arial"/>
          <w:color w:val="auto"/>
          <w:kern w:val="0"/>
          <w:szCs w:val="21"/>
          <w:highlight w:val="none"/>
        </w:rPr>
        <w:t>结算方式：采购费用按月进行结算，双方于次月10日前完成上月采购量的核对。采购人向供应商支付采购费用前，供应商应向采购人提供合法有效的发票；双方确认无误后，采购人在60个日历日内</w:t>
      </w:r>
      <w:r>
        <w:rPr>
          <w:rFonts w:ascii="Arial" w:hAnsi="Arial" w:eastAsia="宋体" w:cs="Arial"/>
          <w:color w:val="auto"/>
          <w:kern w:val="0"/>
          <w:szCs w:val="21"/>
          <w:highlight w:val="none"/>
        </w:rPr>
        <w:t>将上月采购费用以银行转账或电汇方式支付给供应商。</w:t>
      </w:r>
      <w:r>
        <w:rPr>
          <w:rFonts w:hint="eastAsia" w:ascii="Arial" w:hAnsi="Arial" w:eastAsia="宋体" w:cs="Arial"/>
          <w:color w:val="auto"/>
          <w:kern w:val="0"/>
          <w:szCs w:val="21"/>
          <w:highlight w:val="none"/>
          <w:lang w:val="en-US" w:eastAsia="zh-CN"/>
        </w:rPr>
        <w:t>如未按期完成系统对接，甲方有权暂停支付货款。</w:t>
      </w:r>
    </w:p>
    <w:p>
      <w:pPr>
        <w:tabs>
          <w:tab w:val="left" w:pos="1950"/>
        </w:tabs>
        <w:spacing w:before="120" w:line="320" w:lineRule="atLeast"/>
        <w:jc w:val="left"/>
        <w:outlineLvl w:val="1"/>
        <w:rPr>
          <w:rFonts w:hint="eastAsia"/>
          <w:b/>
          <w:bCs/>
          <w:color w:val="auto"/>
          <w:kern w:val="0"/>
          <w:szCs w:val="21"/>
        </w:rPr>
      </w:pPr>
      <w:r>
        <w:rPr>
          <w:b/>
          <w:bCs/>
          <w:color w:val="auto"/>
          <w:kern w:val="0"/>
          <w:szCs w:val="21"/>
        </w:rPr>
        <w:t>4.</w:t>
      </w:r>
      <w:r>
        <w:rPr>
          <w:rFonts w:hint="eastAsia"/>
          <w:b/>
          <w:bCs/>
          <w:color w:val="auto"/>
          <w:kern w:val="0"/>
          <w:szCs w:val="21"/>
        </w:rPr>
        <w:t>评审标准</w:t>
      </w:r>
    </w:p>
    <w:tbl>
      <w:tblPr>
        <w:tblStyle w:val="10"/>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6"/>
        <w:gridCol w:w="775"/>
        <w:gridCol w:w="3957"/>
        <w:gridCol w:w="620"/>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358"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93"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分项属性</w:t>
            </w:r>
          </w:p>
        </w:tc>
        <w:tc>
          <w:tcPr>
            <w:tcW w:w="2278"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评分标准</w:t>
            </w:r>
          </w:p>
        </w:tc>
        <w:tc>
          <w:tcPr>
            <w:tcW w:w="357"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分值权重</w:t>
            </w:r>
          </w:p>
        </w:tc>
        <w:tc>
          <w:tcPr>
            <w:tcW w:w="106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93" w:type="pct"/>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满分20分</w:t>
            </w:r>
            <w:r>
              <w:rPr>
                <w:rFonts w:hint="eastAsia" w:ascii="宋体" w:hAnsi="宋体" w:eastAsia="宋体" w:cs="宋体"/>
                <w:color w:val="auto"/>
                <w:szCs w:val="21"/>
                <w:highlight w:val="none"/>
                <w:lang w:eastAsia="zh-CN"/>
              </w:rPr>
              <w:t>）</w:t>
            </w: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客观分</w:t>
            </w:r>
          </w:p>
        </w:tc>
        <w:tc>
          <w:tcPr>
            <w:tcW w:w="2278" w:type="pct"/>
            <w:noWrap w:val="0"/>
            <w:vAlign w:val="center"/>
          </w:tcPr>
          <w:p>
            <w:pPr>
              <w:pStyle w:val="5"/>
              <w:bidi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以满足采购文件要求且最后响应价格最低的响应报价为评审基准价，其价格分为满分。</w:t>
            </w:r>
          </w:p>
          <w:p>
            <w:pPr>
              <w:pStyle w:val="5"/>
              <w:bidi w:val="0"/>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其他供应商的价格分统一按照下列公式计算：响应报价得分</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（评审基准价</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响应报价）</w:t>
            </w:r>
            <w:r>
              <w:rPr>
                <w:rFonts w:hint="default"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响应报价分满分分值。 </w:t>
            </w:r>
          </w:p>
        </w:tc>
        <w:tc>
          <w:tcPr>
            <w:tcW w:w="357" w:type="pct"/>
            <w:noWrap w:val="0"/>
            <w:vAlign w:val="center"/>
          </w:tcPr>
          <w:p>
            <w:pPr>
              <w:spacing w:line="30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0</w:t>
            </w:r>
          </w:p>
        </w:tc>
        <w:tc>
          <w:tcPr>
            <w:tcW w:w="1066" w:type="pct"/>
            <w:noWrap w:val="0"/>
            <w:vAlign w:val="center"/>
          </w:tcPr>
          <w:p>
            <w:pPr>
              <w:spacing w:line="30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（1）评标报价为供应商的投标报价进行政策性扣除后的价格，评标报价只是作为评标时使用。最终中标人的中标金额等于投标报价。（2）政策性扣除计算方案见后。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358" w:type="pct"/>
            <w:vMerge w:val="restart"/>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493" w:type="pct"/>
            <w:vMerge w:val="restar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商务分</w:t>
            </w:r>
          </w:p>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w:t>
            </w:r>
          </w:p>
        </w:tc>
        <w:tc>
          <w:tcPr>
            <w:tcW w:w="2278" w:type="pct"/>
            <w:noWrap w:val="0"/>
            <w:vAlign w:val="center"/>
          </w:tcPr>
          <w:p>
            <w:pPr>
              <w:spacing w:line="336" w:lineRule="auto"/>
              <w:jc w:val="left"/>
              <w:rPr>
                <w:color w:val="auto"/>
              </w:rPr>
            </w:pPr>
            <w:r>
              <w:rPr>
                <w:rFonts w:hint="eastAsia"/>
                <w:color w:val="auto"/>
              </w:rPr>
              <w:t>拟投人员配备（满分</w:t>
            </w:r>
            <w:r>
              <w:rPr>
                <w:rFonts w:hint="eastAsia"/>
                <w:color w:val="auto"/>
                <w:lang w:val="en-US" w:eastAsia="zh-CN"/>
              </w:rPr>
              <w:t>5</w:t>
            </w:r>
            <w:r>
              <w:rPr>
                <w:rFonts w:hint="eastAsia"/>
                <w:color w:val="auto"/>
              </w:rPr>
              <w:t>分）</w:t>
            </w:r>
          </w:p>
          <w:p>
            <w:pPr>
              <w:pStyle w:val="6"/>
              <w:bidi w:val="0"/>
              <w:rPr>
                <w:rFonts w:hint="eastAsia"/>
                <w:color w:val="auto"/>
                <w:lang w:eastAsia="zh-CN"/>
              </w:rPr>
            </w:pPr>
            <w:r>
              <w:rPr>
                <w:rFonts w:hint="eastAsia"/>
                <w:color w:val="auto"/>
              </w:rPr>
              <w:t>供应商拟投入</w:t>
            </w:r>
            <w:r>
              <w:rPr>
                <w:rFonts w:hint="eastAsia"/>
                <w:color w:val="auto"/>
                <w:lang w:val="en-US" w:eastAsia="zh-CN"/>
              </w:rPr>
              <w:t>本项目</w:t>
            </w:r>
            <w:r>
              <w:rPr>
                <w:rFonts w:hint="eastAsia"/>
                <w:color w:val="auto"/>
              </w:rPr>
              <w:t>人员安排合理，</w:t>
            </w:r>
            <w:r>
              <w:rPr>
                <w:rFonts w:hint="eastAsia"/>
                <w:color w:val="auto"/>
                <w:lang w:val="en-US" w:eastAsia="zh-CN"/>
              </w:rPr>
              <w:t>满足其基本要求（即</w:t>
            </w:r>
            <w:r>
              <w:rPr>
                <w:rFonts w:hint="eastAsia"/>
                <w:color w:val="auto"/>
              </w:rPr>
              <w:t>包括医院驻场负责人1名，采购员1名，物资配送员1名</w:t>
            </w:r>
            <w:r>
              <w:rPr>
                <w:rFonts w:hint="eastAsia"/>
                <w:color w:val="auto"/>
                <w:lang w:eastAsia="zh-CN"/>
              </w:rPr>
              <w:t>），</w:t>
            </w:r>
            <w:r>
              <w:rPr>
                <w:rFonts w:hint="eastAsia"/>
                <w:color w:val="auto"/>
                <w:lang w:val="en-US" w:eastAsia="zh-CN"/>
              </w:rPr>
              <w:t>得</w:t>
            </w:r>
            <w:r>
              <w:rPr>
                <w:rFonts w:hint="eastAsia"/>
                <w:color w:val="auto"/>
              </w:rPr>
              <w:t>满分</w:t>
            </w:r>
            <w:r>
              <w:rPr>
                <w:rFonts w:hint="eastAsia"/>
                <w:color w:val="auto"/>
                <w:lang w:val="en-US" w:eastAsia="zh-CN"/>
              </w:rPr>
              <w:t>5</w:t>
            </w:r>
            <w:r>
              <w:rPr>
                <w:rFonts w:hint="eastAsia"/>
                <w:color w:val="auto"/>
              </w:rPr>
              <w:t>分</w:t>
            </w:r>
            <w:r>
              <w:rPr>
                <w:rFonts w:hint="eastAsia"/>
                <w:color w:val="auto"/>
                <w:lang w:eastAsia="zh-CN"/>
              </w:rPr>
              <w:t>。</w:t>
            </w:r>
          </w:p>
          <w:p>
            <w:pPr>
              <w:pStyle w:val="5"/>
              <w:bidi w:val="0"/>
              <w:rPr>
                <w:rFonts w:hint="eastAsia" w:ascii="宋体" w:hAnsi="宋体" w:eastAsia="宋体" w:cs="宋体"/>
                <w:color w:val="auto"/>
                <w:szCs w:val="21"/>
                <w:highlight w:val="none"/>
                <w:lang w:eastAsia="zh-CN"/>
              </w:rPr>
            </w:pPr>
          </w:p>
        </w:tc>
        <w:tc>
          <w:tcPr>
            <w:tcW w:w="357" w:type="pct"/>
            <w:noWrap w:val="0"/>
            <w:vAlign w:val="center"/>
          </w:tcPr>
          <w:p>
            <w:pPr>
              <w:spacing w:line="33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p>
        </w:tc>
        <w:tc>
          <w:tcPr>
            <w:tcW w:w="1066" w:type="pct"/>
            <w:noWrap w:val="0"/>
            <w:vAlign w:val="center"/>
          </w:tcPr>
          <w:p>
            <w:pPr>
              <w:spacing w:line="336" w:lineRule="auto"/>
              <w:jc w:val="left"/>
              <w:rPr>
                <w:rFonts w:ascii="宋体" w:hAnsi="宋体" w:eastAsia="宋体" w:cs="宋体"/>
                <w:color w:val="auto"/>
                <w:szCs w:val="21"/>
                <w:highlight w:val="none"/>
              </w:rPr>
            </w:pPr>
            <w:r>
              <w:rPr>
                <w:rFonts w:hint="eastAsia" w:ascii="宋体" w:hAnsi="Courier New" w:eastAsia="宋体" w:cs="Times New Roman"/>
                <w:color w:val="auto"/>
                <w:kern w:val="2"/>
                <w:sz w:val="21"/>
                <w:szCs w:val="20"/>
                <w:lang w:val="en-US" w:eastAsia="zh-CN" w:bidi="ar-SA"/>
              </w:rPr>
              <w:t>以上人员均须为不同人员，提供人员职称证或证件复印件（如有）、身份证证明复印件并加盖供应商公章。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w:t>
            </w:r>
          </w:p>
        </w:tc>
        <w:tc>
          <w:tcPr>
            <w:tcW w:w="2278" w:type="pct"/>
            <w:noWrap w:val="0"/>
            <w:vAlign w:val="center"/>
          </w:tcPr>
          <w:p>
            <w:p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信誉（满分16分）</w:t>
            </w:r>
          </w:p>
          <w:p>
            <w:pPr>
              <w:numPr>
                <w:ilvl w:val="0"/>
                <w:numId w:val="3"/>
              </w:num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或投标人软件系统厂商</w:t>
            </w:r>
            <w:r>
              <w:rPr>
                <w:rFonts w:hint="eastAsia" w:ascii="宋体" w:hAnsi="宋体" w:eastAsia="宋体" w:cs="宋体"/>
                <w:color w:val="auto"/>
                <w:szCs w:val="21"/>
                <w:highlight w:val="none"/>
              </w:rPr>
              <w:t>通过ISO9001质量管理体系认证、ISO14001环境管理体系认证、OHSAS18001或ISO45001职业健康安全管理体系认证、ISO27001信息安全管理体系认证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每个有效证书得2分，满分8分。</w:t>
            </w:r>
          </w:p>
          <w:p>
            <w:pPr>
              <w:numPr>
                <w:ilvl w:val="0"/>
                <w:numId w:val="3"/>
              </w:num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en-US" w:eastAsia="zh-CN"/>
              </w:rPr>
              <w:t>或投标人软件系统厂商</w:t>
            </w:r>
            <w:r>
              <w:rPr>
                <w:rFonts w:hint="eastAsia" w:ascii="宋体" w:hAnsi="宋体" w:eastAsia="宋体" w:cs="宋体"/>
                <w:color w:val="auto"/>
                <w:szCs w:val="21"/>
                <w:highlight w:val="none"/>
              </w:rPr>
              <w:t>具有后勤物资供应管理服务相关的自动化仓库、物流运输储物箱等相关证书的，每提供一个得4分，满分8分。</w:t>
            </w:r>
          </w:p>
        </w:tc>
        <w:tc>
          <w:tcPr>
            <w:tcW w:w="357" w:type="pct"/>
            <w:noWrap w:val="0"/>
            <w:vAlign w:val="center"/>
          </w:tcPr>
          <w:p>
            <w:pPr>
              <w:spacing w:line="33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066" w:type="pct"/>
            <w:noWrap w:val="0"/>
            <w:vAlign w:val="center"/>
          </w:tcPr>
          <w:p>
            <w:p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w:t>
            </w:r>
          </w:p>
        </w:tc>
        <w:tc>
          <w:tcPr>
            <w:tcW w:w="2278" w:type="pct"/>
            <w:noWrap w:val="0"/>
            <w:vAlign w:val="center"/>
          </w:tcPr>
          <w:p>
            <w:pPr>
              <w:spacing w:line="33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业绩分（满分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pPr>
              <w:spacing w:line="336" w:lineRule="auto"/>
              <w:jc w:val="left"/>
              <w:rPr>
                <w:rFonts w:ascii="宋体" w:hAnsi="宋体" w:eastAsia="宋体" w:cs="宋体"/>
                <w:color w:val="auto"/>
                <w:szCs w:val="21"/>
                <w:highlight w:val="none"/>
              </w:rPr>
            </w:pPr>
            <w:r>
              <w:rPr>
                <w:rFonts w:hint="eastAsia"/>
                <w:color w:val="auto"/>
                <w:highlight w:val="none"/>
              </w:rPr>
              <w:t>供应商</w:t>
            </w:r>
            <w:r>
              <w:rPr>
                <w:rFonts w:hint="eastAsia"/>
                <w:color w:val="auto"/>
                <w:highlight w:val="none"/>
                <w:lang w:eastAsia="zh-CN"/>
              </w:rPr>
              <w:t>或投标人软件系统厂商</w:t>
            </w:r>
            <w:r>
              <w:rPr>
                <w:color w:val="auto"/>
                <w:highlight w:val="none"/>
              </w:rPr>
              <w:t>具有同类物资供应管理项目实施业绩</w:t>
            </w:r>
            <w:r>
              <w:rPr>
                <w:rFonts w:hint="eastAsia"/>
                <w:color w:val="auto"/>
                <w:highlight w:val="none"/>
              </w:rPr>
              <w:t>，每提供一个得</w:t>
            </w:r>
            <w:r>
              <w:rPr>
                <w:rFonts w:hint="eastAsia"/>
                <w:color w:val="auto"/>
                <w:highlight w:val="none"/>
                <w:lang w:val="en-US" w:eastAsia="zh-CN"/>
              </w:rPr>
              <w:t>2</w:t>
            </w:r>
            <w:r>
              <w:rPr>
                <w:rFonts w:hint="eastAsia"/>
                <w:color w:val="auto"/>
                <w:highlight w:val="none"/>
              </w:rPr>
              <w:t>分，满分</w:t>
            </w:r>
            <w:r>
              <w:rPr>
                <w:rFonts w:hint="eastAsia"/>
                <w:color w:val="auto"/>
                <w:highlight w:val="none"/>
                <w:lang w:val="en-US" w:eastAsia="zh-CN"/>
              </w:rPr>
              <w:t>6</w:t>
            </w:r>
            <w:r>
              <w:rPr>
                <w:rFonts w:hint="eastAsia"/>
                <w:color w:val="auto"/>
                <w:highlight w:val="none"/>
              </w:rPr>
              <w:t>分</w:t>
            </w:r>
            <w:r>
              <w:rPr>
                <w:rFonts w:hint="eastAsia" w:ascii="宋体" w:hAnsi="宋体" w:eastAsia="宋体" w:cs="宋体"/>
                <w:color w:val="auto"/>
                <w:szCs w:val="21"/>
                <w:highlight w:val="none"/>
              </w:rPr>
              <w:t>。</w:t>
            </w:r>
          </w:p>
        </w:tc>
        <w:tc>
          <w:tcPr>
            <w:tcW w:w="357" w:type="pct"/>
            <w:noWrap w:val="0"/>
            <w:vAlign w:val="center"/>
          </w:tcPr>
          <w:p>
            <w:pPr>
              <w:spacing w:line="336"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066" w:type="pct"/>
            <w:noWrap w:val="0"/>
            <w:vAlign w:val="center"/>
          </w:tcPr>
          <w:p>
            <w:pPr>
              <w:spacing w:line="336" w:lineRule="auto"/>
              <w:jc w:val="left"/>
              <w:rPr>
                <w:rFonts w:ascii="宋体" w:hAnsi="宋体" w:eastAsia="宋体" w:cs="宋体"/>
                <w:color w:val="auto"/>
                <w:szCs w:val="21"/>
                <w:highlight w:val="none"/>
              </w:rPr>
            </w:pPr>
            <w:r>
              <w:rPr>
                <w:color w:val="auto"/>
                <w:highlight w:val="none"/>
              </w:rPr>
              <w:t>提供合同</w:t>
            </w:r>
            <w:r>
              <w:rPr>
                <w:rFonts w:hint="eastAsia"/>
                <w:color w:val="auto"/>
                <w:highlight w:val="none"/>
                <w:lang w:val="en-US" w:eastAsia="zh-CN"/>
              </w:rPr>
              <w:t>或中标（成交）通知书</w:t>
            </w:r>
            <w:r>
              <w:rPr>
                <w:color w:val="auto"/>
                <w:highlight w:val="none"/>
              </w:rPr>
              <w:t>复印件并加盖</w:t>
            </w:r>
            <w:r>
              <w:rPr>
                <w:rFonts w:hint="eastAsia"/>
                <w:color w:val="auto"/>
                <w:highlight w:val="none"/>
              </w:rPr>
              <w:t>供应商</w:t>
            </w:r>
            <w:r>
              <w:rPr>
                <w:color w:val="auto"/>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客观</w:t>
            </w:r>
          </w:p>
        </w:tc>
        <w:tc>
          <w:tcPr>
            <w:tcW w:w="2278" w:type="pct"/>
            <w:noWrap w:val="0"/>
            <w:vAlign w:val="center"/>
          </w:tcPr>
          <w:p>
            <w:pPr>
              <w:spacing w:line="276" w:lineRule="auto"/>
              <w:jc w:val="left"/>
              <w:rPr>
                <w:rFonts w:ascii="宋体" w:hAnsi="宋体" w:cs="宋体"/>
                <w:color w:val="auto"/>
                <w:szCs w:val="21"/>
                <w:highlight w:val="none"/>
              </w:rPr>
            </w:pPr>
            <w:r>
              <w:rPr>
                <w:rFonts w:hint="eastAsia"/>
                <w:color w:val="auto"/>
                <w:highlight w:val="none"/>
              </w:rPr>
              <w:t>供应商</w:t>
            </w:r>
            <w:r>
              <w:rPr>
                <w:color w:val="auto"/>
                <w:highlight w:val="none"/>
              </w:rPr>
              <w:t>能提供</w:t>
            </w:r>
            <w:r>
              <w:rPr>
                <w:rFonts w:hint="eastAsia"/>
                <w:color w:val="auto"/>
                <w:highlight w:val="none"/>
              </w:rPr>
              <w:t>桂林市</w:t>
            </w:r>
            <w:r>
              <w:rPr>
                <w:color w:val="auto"/>
                <w:highlight w:val="none"/>
              </w:rPr>
              <w:t>市内物资仓库证明</w:t>
            </w:r>
            <w:r>
              <w:rPr>
                <w:rFonts w:hint="eastAsia"/>
                <w:color w:val="auto"/>
                <w:highlight w:val="none"/>
              </w:rPr>
              <w:t>的得3分，</w:t>
            </w:r>
            <w:r>
              <w:rPr>
                <w:color w:val="auto"/>
                <w:highlight w:val="none"/>
              </w:rPr>
              <w:t>承诺中标后在</w:t>
            </w:r>
            <w:r>
              <w:rPr>
                <w:rFonts w:hint="eastAsia"/>
                <w:color w:val="auto"/>
                <w:highlight w:val="none"/>
              </w:rPr>
              <w:t>桂林</w:t>
            </w:r>
            <w:r>
              <w:rPr>
                <w:color w:val="auto"/>
                <w:highlight w:val="none"/>
              </w:rPr>
              <w:t>市设立物资仓库的</w:t>
            </w:r>
            <w:r>
              <w:rPr>
                <w:rFonts w:hint="eastAsia"/>
                <w:color w:val="auto"/>
                <w:highlight w:val="none"/>
              </w:rPr>
              <w:t>仅得1分</w:t>
            </w:r>
            <w:r>
              <w:rPr>
                <w:color w:val="auto"/>
                <w:highlight w:val="none"/>
              </w:rPr>
              <w:t>，</w:t>
            </w:r>
            <w:r>
              <w:rPr>
                <w:rFonts w:hint="eastAsia"/>
                <w:color w:val="auto"/>
                <w:highlight w:val="none"/>
              </w:rPr>
              <w:t>本项满分3</w:t>
            </w:r>
            <w:r>
              <w:rPr>
                <w:color w:val="auto"/>
                <w:highlight w:val="none"/>
              </w:rPr>
              <w:t>分</w:t>
            </w:r>
            <w:r>
              <w:rPr>
                <w:rFonts w:hint="eastAsia"/>
                <w:color w:val="auto"/>
                <w:highlight w:val="none"/>
              </w:rPr>
              <w:t>。</w:t>
            </w:r>
          </w:p>
        </w:tc>
        <w:tc>
          <w:tcPr>
            <w:tcW w:w="357" w:type="pct"/>
            <w:noWrap w:val="0"/>
            <w:vAlign w:val="center"/>
          </w:tcPr>
          <w:p>
            <w:pPr>
              <w:spacing w:line="276" w:lineRule="auto"/>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1066" w:type="pct"/>
            <w:noWrap w:val="0"/>
            <w:vAlign w:val="center"/>
          </w:tcPr>
          <w:p>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提供租赁合同及产权证明或供应商自有产权证明复印件，</w:t>
            </w:r>
            <w:r>
              <w:rPr>
                <w:rFonts w:hint="eastAsia" w:ascii="Arial" w:hAnsi="Arial" w:cs="Arial"/>
                <w:color w:val="auto"/>
                <w:szCs w:val="21"/>
                <w:highlight w:val="none"/>
              </w:rPr>
              <w:t>承诺中标后设立的提供</w:t>
            </w:r>
            <w:r>
              <w:rPr>
                <w:rFonts w:ascii="Arial" w:hAnsi="Arial" w:cs="Arial"/>
                <w:color w:val="auto"/>
                <w:szCs w:val="21"/>
                <w:highlight w:val="none"/>
              </w:rPr>
              <w:t>承诺函原件，</w:t>
            </w:r>
            <w:r>
              <w:rPr>
                <w:rFonts w:hint="eastAsia" w:ascii="宋体" w:hAnsi="宋体" w:eastAsia="宋体" w:cs="宋体"/>
                <w:color w:val="auto"/>
                <w:szCs w:val="21"/>
                <w:highlight w:val="none"/>
              </w:rPr>
              <w:t>并加盖供应商公章，</w:t>
            </w:r>
            <w:r>
              <w:rPr>
                <w:rFonts w:ascii="Arial" w:hAnsi="Arial" w:cs="Arial"/>
                <w:color w:val="auto"/>
                <w:szCs w:val="21"/>
                <w:highlight w:val="none"/>
              </w:rPr>
              <w:t>不提供不得分</w:t>
            </w:r>
            <w:r>
              <w:rPr>
                <w:rFonts w:hint="eastAsia" w:ascii="Arial" w:hAnsi="Arial" w:cs="Arial"/>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restar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93" w:type="pct"/>
            <w:vMerge w:val="restar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分</w:t>
            </w:r>
          </w:p>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分）</w:t>
            </w: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主观</w:t>
            </w:r>
          </w:p>
        </w:tc>
        <w:tc>
          <w:tcPr>
            <w:tcW w:w="2278" w:type="pct"/>
            <w:noWrap w:val="0"/>
            <w:vAlign w:val="center"/>
          </w:tcPr>
          <w:p>
            <w:pPr>
              <w:spacing w:line="276" w:lineRule="auto"/>
              <w:jc w:val="left"/>
              <w:rPr>
                <w:color w:val="auto"/>
              </w:rPr>
            </w:pPr>
            <w:r>
              <w:rPr>
                <w:rFonts w:hint="eastAsia"/>
                <w:color w:val="auto"/>
              </w:rPr>
              <w:t>项目实施方案（满分</w:t>
            </w:r>
            <w:r>
              <w:rPr>
                <w:rFonts w:hint="eastAsia"/>
                <w:color w:val="auto"/>
                <w:lang w:val="en-US" w:eastAsia="zh-CN"/>
              </w:rPr>
              <w:t>12</w:t>
            </w:r>
            <w:r>
              <w:rPr>
                <w:rFonts w:hint="eastAsia"/>
                <w:color w:val="auto"/>
              </w:rPr>
              <w:t>分）</w:t>
            </w:r>
          </w:p>
          <w:p>
            <w:pPr>
              <w:spacing w:line="276" w:lineRule="auto"/>
              <w:jc w:val="left"/>
              <w:rPr>
                <w:rFonts w:hint="eastAsia"/>
                <w:color w:val="auto"/>
              </w:rPr>
            </w:pPr>
            <w:r>
              <w:rPr>
                <w:rFonts w:hint="eastAsia"/>
                <w:color w:val="auto"/>
              </w:rPr>
              <w:t>供应商针对本项目编制具体的整体项目实施方案（包括系统建设、人员分配、内部管控、用户培训计划、软件故障响应时间等方面），整体实施方案可行且具有先进性，对项目建设理解透彻，提供的系统技术方案包含全面，结构合理，可行性程度高。</w:t>
            </w:r>
          </w:p>
          <w:p>
            <w:pPr>
              <w:spacing w:line="276" w:lineRule="auto"/>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一档（3分）：项目实施方案基本</w:t>
            </w:r>
            <w:r>
              <w:rPr>
                <w:rFonts w:hint="eastAsia" w:ascii="Times New Roman" w:hAnsi="Times New Roman" w:eastAsia="宋体" w:cs="Times New Roman"/>
                <w:color w:val="auto"/>
                <w:lang w:val="en-US" w:eastAsia="zh-CN"/>
              </w:rPr>
              <w:t>勉强</w:t>
            </w:r>
            <w:r>
              <w:rPr>
                <w:rFonts w:hint="eastAsia" w:ascii="Times New Roman" w:hAnsi="Times New Roman" w:eastAsia="宋体" w:cs="Times New Roman"/>
                <w:color w:val="auto"/>
              </w:rPr>
              <w:t>可行，较简单，提及的内容较少</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对</w:t>
            </w:r>
            <w:r>
              <w:rPr>
                <w:rFonts w:hint="eastAsia" w:ascii="Times New Roman" w:hAnsi="Times New Roman" w:eastAsia="宋体" w:cs="Times New Roman"/>
                <w:color w:val="auto"/>
              </w:rPr>
              <w:t>目实施了解</w:t>
            </w:r>
            <w:r>
              <w:rPr>
                <w:rFonts w:hint="eastAsia" w:ascii="Times New Roman" w:hAnsi="Times New Roman" w:eastAsia="宋体" w:cs="Times New Roman"/>
                <w:color w:val="auto"/>
                <w:lang w:val="en-US" w:eastAsia="zh-CN"/>
              </w:rPr>
              <w:t>模糊；</w:t>
            </w:r>
          </w:p>
          <w:p>
            <w:pPr>
              <w:spacing w:line="276"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二</w:t>
            </w:r>
            <w:r>
              <w:rPr>
                <w:rFonts w:hint="eastAsia" w:ascii="Times New Roman" w:hAnsi="Times New Roman" w:eastAsia="宋体" w:cs="Times New Roman"/>
                <w:color w:val="auto"/>
              </w:rPr>
              <w:t>档（</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分）：项目实施方案合理、可行性一般，对项目实施有一定的了解；</w:t>
            </w:r>
          </w:p>
          <w:p>
            <w:pPr>
              <w:spacing w:line="276"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三</w:t>
            </w:r>
            <w:r>
              <w:rPr>
                <w:rFonts w:hint="eastAsia" w:ascii="Times New Roman" w:hAnsi="Times New Roman" w:eastAsia="宋体" w:cs="Times New Roman"/>
                <w:color w:val="auto"/>
              </w:rPr>
              <w:t>档（</w:t>
            </w:r>
            <w:r>
              <w:rPr>
                <w:rFonts w:hint="eastAsia" w:ascii="Times New Roman" w:hAnsi="Times New Roman" w:eastAsia="宋体" w:cs="Times New Roman"/>
                <w:color w:val="auto"/>
                <w:lang w:val="en-US" w:eastAsia="zh-CN"/>
              </w:rPr>
              <w:t>9</w:t>
            </w:r>
            <w:r>
              <w:rPr>
                <w:rFonts w:hint="eastAsia" w:ascii="Times New Roman" w:hAnsi="Times New Roman" w:eastAsia="宋体" w:cs="Times New Roman"/>
                <w:color w:val="auto"/>
              </w:rPr>
              <w:t>分）：项目实施方案详细、完整、合理、可行，对项目实施有详细的了解；</w:t>
            </w:r>
          </w:p>
          <w:p>
            <w:pPr>
              <w:spacing w:line="276" w:lineRule="auto"/>
              <w:jc w:val="left"/>
              <w:rPr>
                <w:rFonts w:ascii="宋体" w:hAnsi="宋体" w:eastAsia="宋体" w:cs="宋体"/>
                <w:color w:val="auto"/>
                <w:szCs w:val="21"/>
                <w:highlight w:val="none"/>
              </w:rPr>
            </w:pPr>
            <w:r>
              <w:rPr>
                <w:rFonts w:hint="eastAsia" w:ascii="Times New Roman" w:hAnsi="Times New Roman" w:eastAsia="宋体" w:cs="Times New Roman"/>
                <w:color w:val="auto"/>
                <w:lang w:val="en-US" w:eastAsia="zh-CN"/>
              </w:rPr>
              <w:t>四</w:t>
            </w:r>
            <w:r>
              <w:rPr>
                <w:rFonts w:hint="eastAsia" w:ascii="Times New Roman" w:hAnsi="Times New Roman" w:eastAsia="宋体" w:cs="Times New Roman"/>
                <w:color w:val="auto"/>
              </w:rPr>
              <w:t>档（</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分）：项目实施方案详细、完整、合理、可行、科学，且具有先进性、可拓展性，对项目实施理解透彻，能更优于项目要求。</w:t>
            </w:r>
          </w:p>
        </w:tc>
        <w:tc>
          <w:tcPr>
            <w:tcW w:w="357" w:type="pct"/>
            <w:noWrap w:val="0"/>
            <w:vAlign w:val="center"/>
          </w:tcPr>
          <w:p>
            <w:pPr>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066" w:type="pct"/>
            <w:noWrap w:val="0"/>
            <w:vAlign w:val="center"/>
          </w:tcPr>
          <w:p>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须提供项目实施方案，未提供或不符合要求的得0分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主观</w:t>
            </w:r>
          </w:p>
        </w:tc>
        <w:tc>
          <w:tcPr>
            <w:tcW w:w="2278" w:type="pct"/>
            <w:noWrap w:val="0"/>
            <w:vAlign w:val="center"/>
          </w:tcPr>
          <w:p>
            <w:pPr>
              <w:spacing w:line="276" w:lineRule="auto"/>
              <w:rPr>
                <w:color w:val="auto"/>
              </w:rPr>
            </w:pPr>
            <w:r>
              <w:rPr>
                <w:rFonts w:hint="eastAsia"/>
                <w:color w:val="auto"/>
              </w:rPr>
              <w:t>售后服务方案分（</w:t>
            </w:r>
            <w:r>
              <w:rPr>
                <w:rFonts w:hint="eastAsia"/>
                <w:color w:val="auto"/>
                <w:lang w:val="en-US" w:eastAsia="zh-CN"/>
              </w:rPr>
              <w:t>12</w:t>
            </w:r>
            <w:r>
              <w:rPr>
                <w:rFonts w:hint="eastAsia"/>
                <w:color w:val="auto"/>
              </w:rPr>
              <w:t>分）</w:t>
            </w:r>
          </w:p>
          <w:p>
            <w:pPr>
              <w:spacing w:line="276" w:lineRule="auto"/>
              <w:rPr>
                <w:color w:val="auto"/>
              </w:rPr>
            </w:pPr>
            <w:r>
              <w:rPr>
                <w:rFonts w:hint="eastAsia"/>
                <w:color w:val="auto"/>
              </w:rPr>
              <w:t>由评委根据供应商提供的售后服务方案内容的完整性、可行性，到达质量现场时间、质量问题出现解决方案、质保期、本地化售后服务措施、其他优惠措施等方面进行评定。</w:t>
            </w:r>
          </w:p>
          <w:p>
            <w:pPr>
              <w:spacing w:line="276" w:lineRule="auto"/>
              <w:rPr>
                <w:color w:val="auto"/>
              </w:rPr>
            </w:pPr>
            <w:r>
              <w:rPr>
                <w:rFonts w:hint="eastAsia"/>
                <w:color w:val="auto"/>
              </w:rPr>
              <w:t>一档（3分）：售后服务承诺满足</w:t>
            </w:r>
            <w:r>
              <w:rPr>
                <w:rFonts w:hint="eastAsia"/>
                <w:color w:val="auto"/>
                <w:lang w:val="en-US" w:eastAsia="zh-CN"/>
              </w:rPr>
              <w:t>采购</w:t>
            </w:r>
            <w:r>
              <w:rPr>
                <w:rFonts w:hint="eastAsia"/>
                <w:color w:val="auto"/>
              </w:rPr>
              <w:t>文件条款要求；</w:t>
            </w:r>
          </w:p>
          <w:p>
            <w:pPr>
              <w:spacing w:line="276" w:lineRule="auto"/>
              <w:rPr>
                <w:color w:val="auto"/>
              </w:rPr>
            </w:pPr>
            <w:r>
              <w:rPr>
                <w:rFonts w:hint="eastAsia"/>
                <w:color w:val="auto"/>
              </w:rPr>
              <w:t>二档（6分）：满足</w:t>
            </w:r>
            <w:r>
              <w:rPr>
                <w:rFonts w:hint="eastAsia"/>
                <w:color w:val="auto"/>
                <w:lang w:val="en-US" w:eastAsia="zh-CN"/>
              </w:rPr>
              <w:t>采购</w:t>
            </w:r>
            <w:r>
              <w:rPr>
                <w:rFonts w:hint="eastAsia"/>
                <w:color w:val="auto"/>
              </w:rPr>
              <w:t>文件最低要求，售后服务承诺明确、可行，并提供有简单的保证措施及应急预案措施、售后方案，提供质保期内响应服务的联系人和联系电话等方面的情况；售后服务明确响应时间、明确出现质量问题解决时间</w:t>
            </w:r>
          </w:p>
          <w:p>
            <w:pPr>
              <w:spacing w:line="336" w:lineRule="auto"/>
              <w:jc w:val="left"/>
              <w:rPr>
                <w:rFonts w:hint="eastAsia"/>
                <w:color w:val="auto"/>
              </w:rPr>
            </w:pPr>
            <w:r>
              <w:rPr>
                <w:rFonts w:hint="eastAsia"/>
                <w:color w:val="auto"/>
              </w:rPr>
              <w:t>三档（9分）：满足</w:t>
            </w:r>
            <w:r>
              <w:rPr>
                <w:rFonts w:hint="eastAsia"/>
                <w:color w:val="auto"/>
                <w:lang w:val="en-US" w:eastAsia="zh-CN"/>
              </w:rPr>
              <w:t>采购</w:t>
            </w:r>
            <w:r>
              <w:rPr>
                <w:rFonts w:hint="eastAsia"/>
                <w:color w:val="auto"/>
              </w:rPr>
              <w:t>文件最低要求，售后服务承诺明确、可行，并提供有简单的保证措施及应急预案措施、售后方案，提供质保期内响应服务的联系人和联系电话等方面的情况；售后服务明确响应时间、明确出现质量问题解决时间；产品出现质量问题承诺无条件更换或其他优惠条件</w:t>
            </w:r>
          </w:p>
          <w:p>
            <w:pPr>
              <w:spacing w:line="336" w:lineRule="auto"/>
              <w:jc w:val="left"/>
              <w:rPr>
                <w:rFonts w:ascii="宋体" w:hAnsi="宋体" w:eastAsia="宋体" w:cs="宋体"/>
                <w:color w:val="auto"/>
                <w:szCs w:val="21"/>
                <w:highlight w:val="none"/>
              </w:rPr>
            </w:pPr>
            <w:r>
              <w:rPr>
                <w:rFonts w:hint="eastAsia" w:ascii="Times New Roman" w:hAnsi="Times New Roman" w:eastAsia="宋体" w:cs="Times New Roman"/>
                <w:color w:val="auto"/>
                <w:lang w:val="en-US" w:eastAsia="zh-CN"/>
              </w:rPr>
              <w:t>四</w:t>
            </w:r>
            <w:r>
              <w:rPr>
                <w:rFonts w:hint="eastAsia" w:ascii="Times New Roman" w:hAnsi="Times New Roman" w:eastAsia="宋体" w:cs="Times New Roman"/>
                <w:color w:val="auto"/>
              </w:rPr>
              <w:t>档（</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分）：</w:t>
            </w:r>
            <w:r>
              <w:rPr>
                <w:rFonts w:hint="eastAsia" w:ascii="Times New Roman" w:hAnsi="Times New Roman" w:eastAsia="宋体" w:cs="Times New Roman"/>
                <w:color w:val="auto"/>
                <w:lang w:val="en-US" w:eastAsia="zh-CN"/>
              </w:rPr>
              <w:t>优于</w:t>
            </w:r>
            <w:r>
              <w:rPr>
                <w:rFonts w:hint="eastAsia"/>
                <w:color w:val="auto"/>
                <w:lang w:val="en-US" w:eastAsia="zh-CN"/>
              </w:rPr>
              <w:t>采购</w:t>
            </w:r>
            <w:r>
              <w:rPr>
                <w:rFonts w:hint="eastAsia"/>
                <w:color w:val="auto"/>
              </w:rPr>
              <w:t>文件最低要求，售后服务承诺明确、可行，并提供有</w:t>
            </w:r>
            <w:r>
              <w:rPr>
                <w:rFonts w:hint="eastAsia"/>
                <w:color w:val="auto"/>
                <w:lang w:val="en-US" w:eastAsia="zh-CN"/>
              </w:rPr>
              <w:t>完整、有针对性、先进</w:t>
            </w:r>
            <w:r>
              <w:rPr>
                <w:rFonts w:hint="eastAsia"/>
                <w:color w:val="auto"/>
              </w:rPr>
              <w:t>的保证措施及应急预案措施、售后方案，提供质保期内响应服务的联系人和联系电话等方面的情况；售后服务明确</w:t>
            </w:r>
            <w:r>
              <w:rPr>
                <w:rFonts w:hint="eastAsia"/>
                <w:color w:val="auto"/>
                <w:lang w:val="en-US" w:eastAsia="zh-CN"/>
              </w:rPr>
              <w:t>高效</w:t>
            </w:r>
            <w:r>
              <w:rPr>
                <w:rFonts w:hint="eastAsia"/>
                <w:color w:val="auto"/>
              </w:rPr>
              <w:t>响应时间、明确出现质量问题解决时间；产品出现质量问题承诺无条件更换或其他优惠条件</w:t>
            </w:r>
          </w:p>
        </w:tc>
        <w:tc>
          <w:tcPr>
            <w:tcW w:w="357" w:type="pct"/>
            <w:noWrap w:val="0"/>
            <w:vAlign w:val="center"/>
          </w:tcPr>
          <w:p>
            <w:pPr>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066" w:type="pct"/>
            <w:noWrap w:val="0"/>
            <w:vAlign w:val="center"/>
          </w:tcPr>
          <w:p>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须提供售后服务方案，未提供或不符合要求的得0分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numPr>
                <w:ilvl w:val="0"/>
                <w:numId w:val="4"/>
              </w:num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为客观</w:t>
            </w:r>
          </w:p>
          <w:p>
            <w:pPr>
              <w:numPr>
                <w:ilvl w:val="0"/>
                <w:numId w:val="4"/>
              </w:num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为主观</w:t>
            </w:r>
          </w:p>
        </w:tc>
        <w:tc>
          <w:tcPr>
            <w:tcW w:w="2278" w:type="pct"/>
            <w:noWrap w:val="0"/>
            <w:vAlign w:val="center"/>
          </w:tcPr>
          <w:p>
            <w:p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投入软、硬件性能分（满分1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p>
            <w:pPr>
              <w:numPr>
                <w:ilvl w:val="0"/>
                <w:numId w:val="5"/>
              </w:num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自主知识产权（</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p>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供应商</w:t>
            </w:r>
            <w:r>
              <w:rPr>
                <w:rFonts w:hint="eastAsia" w:ascii="宋体" w:hAnsi="宋体" w:cs="宋体"/>
                <w:color w:val="auto"/>
                <w:kern w:val="0"/>
                <w:szCs w:val="21"/>
                <w:highlight w:val="none"/>
                <w:lang w:val="en-US" w:eastAsia="zh-CN"/>
              </w:rPr>
              <w:t>自有的或投标人软件系统厂商授权的</w:t>
            </w:r>
            <w:r>
              <w:rPr>
                <w:rFonts w:hint="eastAsia" w:ascii="宋体" w:hAnsi="宋体" w:cs="宋体"/>
                <w:color w:val="auto"/>
                <w:kern w:val="0"/>
                <w:szCs w:val="21"/>
                <w:highlight w:val="none"/>
              </w:rPr>
              <w:t>具有较为完整的医院产品软件产品并拥有自主知识版权，提供</w:t>
            </w:r>
            <w:r>
              <w:rPr>
                <w:rFonts w:hint="eastAsia" w:ascii="宋体" w:hAnsi="宋体" w:cs="宋体"/>
                <w:color w:val="auto"/>
                <w:kern w:val="0"/>
                <w:szCs w:val="21"/>
                <w:highlight w:val="none"/>
                <w:lang w:val="en-US" w:eastAsia="zh-CN"/>
              </w:rPr>
              <w:t>自有的或投标人软件系统厂商授权的物资管理系统、物资供应保障服务平台、信息化平台、物流配送系统物资、订单、物流、库管等与本项目服务内容相类似的</w:t>
            </w:r>
            <w:r>
              <w:rPr>
                <w:rFonts w:hint="eastAsia" w:ascii="宋体" w:hAnsi="宋体" w:cs="宋体"/>
                <w:color w:val="auto"/>
                <w:kern w:val="0"/>
                <w:szCs w:val="21"/>
                <w:highlight w:val="none"/>
              </w:rPr>
              <w:t>计算机软件著作权登记证书，每提供1个得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分，满分</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r>
              <w:rPr>
                <w:rFonts w:hint="eastAsia"/>
                <w:color w:val="auto"/>
                <w:highlight w:val="none"/>
              </w:rPr>
              <w:t>。</w:t>
            </w:r>
          </w:p>
          <w:p>
            <w:pPr>
              <w:numPr>
                <w:ilvl w:val="0"/>
                <w:numId w:val="5"/>
              </w:num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性能分（9分）</w:t>
            </w:r>
          </w:p>
          <w:p>
            <w:p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一档（3分）：软件功能满足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要求基本功能，各项功能介绍简单，操作界面流程不够直观；</w:t>
            </w:r>
          </w:p>
          <w:p>
            <w:pPr>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二档（6分）：软件功能满足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要求基本功能，有较详细全面的功能介绍，具有操作直观、简单易懂等优点；</w:t>
            </w:r>
          </w:p>
          <w:p>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三档（9分）软件功能完全满足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要求，详细全面的功能介绍详细、全面，具有操作很直观、简单易懂等优点。</w:t>
            </w:r>
          </w:p>
          <w:p>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须提供软件功能</w:t>
            </w:r>
            <w:r>
              <w:rPr>
                <w:rFonts w:hint="eastAsia" w:ascii="宋体" w:hAnsi="宋体" w:eastAsia="宋体" w:cs="宋体"/>
                <w:color w:val="auto"/>
                <w:szCs w:val="21"/>
                <w:highlight w:val="none"/>
                <w:lang w:val="en-US" w:eastAsia="zh-CN"/>
              </w:rPr>
              <w:t>介绍，</w:t>
            </w:r>
            <w:r>
              <w:rPr>
                <w:rFonts w:hint="eastAsia" w:ascii="宋体" w:hAnsi="宋体" w:eastAsia="宋体" w:cs="宋体"/>
                <w:color w:val="auto"/>
                <w:szCs w:val="21"/>
                <w:highlight w:val="none"/>
              </w:rPr>
              <w:t>未提供或不符合要求的得0分</w:t>
            </w:r>
          </w:p>
        </w:tc>
        <w:tc>
          <w:tcPr>
            <w:tcW w:w="357" w:type="pct"/>
            <w:noWrap w:val="0"/>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p>
        </w:tc>
        <w:tc>
          <w:tcPr>
            <w:tcW w:w="1066" w:type="pct"/>
            <w:noWrap w:val="0"/>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投标文件提供（1）证明材料复印件并加盖供应商公章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vMerge w:val="continue"/>
            <w:noWrap w:val="0"/>
            <w:vAlign w:val="center"/>
          </w:tcPr>
          <w:p>
            <w:pPr>
              <w:spacing w:line="360" w:lineRule="auto"/>
              <w:jc w:val="center"/>
              <w:rPr>
                <w:rFonts w:ascii="宋体" w:hAnsi="宋体" w:eastAsia="宋体" w:cs="宋体"/>
                <w:color w:val="auto"/>
                <w:szCs w:val="21"/>
                <w:highlight w:val="none"/>
              </w:rPr>
            </w:pPr>
          </w:p>
        </w:tc>
        <w:tc>
          <w:tcPr>
            <w:tcW w:w="493" w:type="pct"/>
            <w:vMerge w:val="continue"/>
            <w:noWrap w:val="0"/>
            <w:vAlign w:val="center"/>
          </w:tcPr>
          <w:p>
            <w:pPr>
              <w:spacing w:line="360" w:lineRule="auto"/>
              <w:jc w:val="center"/>
              <w:rPr>
                <w:rFonts w:ascii="宋体" w:hAnsi="宋体" w:eastAsia="宋体" w:cs="宋体"/>
                <w:color w:val="auto"/>
                <w:szCs w:val="21"/>
                <w:highlight w:val="none"/>
              </w:rPr>
            </w:pPr>
          </w:p>
        </w:tc>
        <w:tc>
          <w:tcPr>
            <w:tcW w:w="446" w:type="pct"/>
            <w:noWrap w:val="0"/>
            <w:vAlign w:val="center"/>
          </w:tcPr>
          <w:p>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主观</w:t>
            </w:r>
          </w:p>
        </w:tc>
        <w:tc>
          <w:tcPr>
            <w:tcW w:w="2278" w:type="pct"/>
            <w:noWrap w:val="0"/>
            <w:vAlign w:val="center"/>
          </w:tcPr>
          <w:p>
            <w:pPr>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配送方案（满分9分）</w:t>
            </w:r>
          </w:p>
          <w:p>
            <w:pPr>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一档（3分）：配送方案内容不齐全或较简单，基本可行；</w:t>
            </w:r>
          </w:p>
          <w:p>
            <w:pPr>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二档（6分）：配送方案内容齐全、详细、可行，满足项目需求；</w:t>
            </w:r>
          </w:p>
          <w:p>
            <w:pPr>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三档（9分）：配送方案内容齐全、详细，有针对性，可行性高，能提供优于项目需求的方案</w:t>
            </w:r>
          </w:p>
        </w:tc>
        <w:tc>
          <w:tcPr>
            <w:tcW w:w="357" w:type="pct"/>
            <w:noWrap w:val="0"/>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066" w:type="pct"/>
            <w:noWrap w:val="0"/>
            <w:vAlign w:val="center"/>
          </w:tcPr>
          <w:p>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须提供配送方案，未提供或不符合要求的得0分</w:t>
            </w:r>
          </w:p>
        </w:tc>
      </w:tr>
    </w:tbl>
    <w:p>
      <w:pPr>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spacing w:line="400" w:lineRule="exact"/>
        <w:rPr>
          <w:rFonts w:ascii="宋体" w:hAnsi="宋体" w:eastAsia="宋体" w:cs="宋体"/>
          <w:kern w:val="0"/>
          <w:szCs w:val="21"/>
        </w:rPr>
      </w:pPr>
    </w:p>
    <w:p>
      <w:pPr>
        <w:rPr>
          <w:rFonts w:ascii="宋体" w:hAnsi="宋体" w:eastAsia="宋体" w:cs="宋体"/>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5CDB5"/>
    <w:multiLevelType w:val="singleLevel"/>
    <w:tmpl w:val="9855CDB5"/>
    <w:lvl w:ilvl="0" w:tentative="0">
      <w:start w:val="7"/>
      <w:numFmt w:val="decimal"/>
      <w:suff w:val="nothing"/>
      <w:lvlText w:val="%1、"/>
      <w:lvlJc w:val="left"/>
    </w:lvl>
  </w:abstractNum>
  <w:abstractNum w:abstractNumId="1">
    <w:nsid w:val="619C44F8"/>
    <w:multiLevelType w:val="singleLevel"/>
    <w:tmpl w:val="619C44F8"/>
    <w:lvl w:ilvl="0" w:tentative="0">
      <w:start w:val="1"/>
      <w:numFmt w:val="decimal"/>
      <w:suff w:val="nothing"/>
      <w:lvlText w:val="（%1）"/>
      <w:lvlJc w:val="left"/>
    </w:lvl>
  </w:abstractNum>
  <w:abstractNum w:abstractNumId="2">
    <w:nsid w:val="619C55ED"/>
    <w:multiLevelType w:val="singleLevel"/>
    <w:tmpl w:val="619C55ED"/>
    <w:lvl w:ilvl="0" w:tentative="0">
      <w:start w:val="1"/>
      <w:numFmt w:val="decimal"/>
      <w:suff w:val="nothing"/>
      <w:lvlText w:val="（%1）"/>
      <w:lvlJc w:val="left"/>
    </w:lvl>
  </w:abstractNum>
  <w:abstractNum w:abstractNumId="3">
    <w:nsid w:val="619C5997"/>
    <w:multiLevelType w:val="singleLevel"/>
    <w:tmpl w:val="619C5997"/>
    <w:lvl w:ilvl="0" w:tentative="0">
      <w:start w:val="1"/>
      <w:numFmt w:val="decimal"/>
      <w:suff w:val="nothing"/>
      <w:lvlText w:val="（%1）"/>
      <w:lvlJc w:val="left"/>
    </w:lvl>
  </w:abstractNum>
  <w:abstractNum w:abstractNumId="4">
    <w:nsid w:val="70BC5F52"/>
    <w:multiLevelType w:val="singleLevel"/>
    <w:tmpl w:val="70BC5F52"/>
    <w:lvl w:ilvl="0" w:tentative="0">
      <w:start w:val="4"/>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jMmUxOWI2NjViMzIxYjQ4OTQwODkyYzk0Mjg0YWIifQ=="/>
  </w:docVars>
  <w:rsids>
    <w:rsidRoot w:val="0088640B"/>
    <w:rsid w:val="006D0055"/>
    <w:rsid w:val="0088640B"/>
    <w:rsid w:val="00C859DC"/>
    <w:rsid w:val="0D237890"/>
    <w:rsid w:val="13A12130"/>
    <w:rsid w:val="17096915"/>
    <w:rsid w:val="1B8649A5"/>
    <w:rsid w:val="1BA615D4"/>
    <w:rsid w:val="34AD72BF"/>
    <w:rsid w:val="42F26B09"/>
    <w:rsid w:val="49E472E5"/>
    <w:rsid w:val="4D263C80"/>
    <w:rsid w:val="521128D7"/>
    <w:rsid w:val="55D6638B"/>
    <w:rsid w:val="64D94A5C"/>
    <w:rsid w:val="6BB9449C"/>
    <w:rsid w:val="766063AC"/>
    <w:rsid w:val="78E21CE1"/>
    <w:rsid w:val="7B6B1ABE"/>
    <w:rsid w:val="7CFB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index 8"/>
    <w:basedOn w:val="1"/>
    <w:next w:val="1"/>
    <w:qFormat/>
    <w:uiPriority w:val="0"/>
    <w:pPr>
      <w:ind w:left="2940"/>
    </w:pPr>
  </w:style>
  <w:style w:type="paragraph" w:styleId="4">
    <w:name w:val="annotation text"/>
    <w:basedOn w:val="1"/>
    <w:semiHidden/>
    <w:qFormat/>
    <w:uiPriority w:val="0"/>
    <w:pPr>
      <w:jc w:val="left"/>
    </w:pPr>
  </w:style>
  <w:style w:type="paragraph" w:styleId="5">
    <w:name w:val="Body Text"/>
    <w:basedOn w:val="1"/>
    <w:qFormat/>
    <w:uiPriority w:val="99"/>
    <w:pPr>
      <w:spacing w:line="380" w:lineRule="exact"/>
    </w:pPr>
    <w:rPr>
      <w:sz w:val="24"/>
    </w:rPr>
  </w:style>
  <w:style w:type="paragraph" w:styleId="6">
    <w:name w:val="Plain Text"/>
    <w:basedOn w:val="1"/>
    <w:next w:val="3"/>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0"/>
    <w:rPr>
      <w:kern w:val="2"/>
      <w:sz w:val="18"/>
      <w:szCs w:val="18"/>
    </w:rPr>
  </w:style>
  <w:style w:type="paragraph" w:customStyle="1" w:styleId="13">
    <w:name w:val="bodytextbb1bodybtcontents01"/>
    <w:basedOn w:val="1"/>
    <w:qFormat/>
    <w:uiPriority w:val="0"/>
    <w:pPr>
      <w:widowControl/>
      <w:spacing w:before="100" w:beforeAutospacing="1" w:after="100" w:afterAutospacing="1"/>
      <w:jc w:val="left"/>
    </w:pPr>
    <w:rPr>
      <w:rFonts w:cs="宋体"/>
      <w:kern w:val="0"/>
    </w:rPr>
  </w:style>
  <w:style w:type="character" w:customStyle="1" w:styleId="14">
    <w:name w:val="正文文本 字符1"/>
    <w:qFormat/>
    <w:uiPriority w:val="99"/>
    <w:rPr>
      <w:kern w:val="2"/>
      <w:sz w:val="24"/>
      <w:szCs w:val="24"/>
    </w:rPr>
  </w:style>
  <w:style w:type="paragraph" w:customStyle="1" w:styleId="15">
    <w:name w:val="List Paragraph"/>
    <w:basedOn w:val="1"/>
    <w:qFormat/>
    <w:uiPriority w:val="34"/>
    <w:pPr>
      <w:ind w:firstLine="420" w:firstLineChars="200"/>
    </w:pPr>
  </w:style>
  <w:style w:type="paragraph" w:customStyle="1" w:styleId="16">
    <w:name w:val="列出段落12"/>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234</Words>
  <Characters>1338</Characters>
  <Lines>11</Lines>
  <Paragraphs>3</Paragraphs>
  <TotalTime>12</TotalTime>
  <ScaleCrop>false</ScaleCrop>
  <LinksUpToDate>false</LinksUpToDate>
  <CharactersWithSpaces>1569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zbb</cp:lastModifiedBy>
  <dcterms:modified xsi:type="dcterms:W3CDTF">2024-04-15T07:27:51Z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6231FEB4AC1C4BC2A75C69B43800140F</vt:lpwstr>
  </property>
</Properties>
</file>