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设备名称：上下肢主被动康复训练系统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52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1、设备能够提供动力、用户交互界面进行上肢及下肢功能康复训练；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2、设备至少提供三种训练模式，包括被动训练、主动训练、助力训练；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3、设备应能根据患者运动状态自动切换训练模式，同时也支持手动选择模式；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4、上肢训练器可进行水平调整，调整角度≥180°；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、显示屏应支持倾角可调，范围60°~180°；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6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、训练时应能显示肌张力水平、痉挛次数、训练时长、运动速度、运动距离、能量消耗等训练分析信息，在主动、助力训练模式下，应能显示对称性信息；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7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、设备应提供默认用户及用户信息管理功能，至少包含患者管理，支持修改姓名、性别、年龄、身高、体重、上肢训练速度、下肢训练速度；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8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、设备至少提供四种安全保护：痉挛保护、声控急停、磁控急停、手动急停开关；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9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、触发痉挛保护时，痉挛保护至少三种可选：同向运动、反向运动和保持停止；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、训练时长应可设定，支持最长170min训练时长设定：</w:t>
      </w:r>
    </w:p>
    <w:p>
      <w:pPr>
        <w:rPr>
          <w:rFonts w:hint="eastAsi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、最大速度限制值最高应≥150 r/min。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  <w:bookmarkStart w:id="1" w:name="_GoBack"/>
      <w:bookmarkEnd w:id="1"/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设备名称：全自动五分类血细胞分析仪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63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1.采用双进样模式，手动模式、自动模式。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2.具有检测微量（末梢血）、前稀释或低浓度白细胞及低血小板模式等功能。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3.可以进行网织红细胞计数，体液血细胞计数与分类。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4.抗凝剂选择EDTA-2K。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5.具有图形报告，有散点图及直方图等报告。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6.具有试剂报警，故障报警，异常结果报警。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7.可扩展联机检测HsCRP，SAA，糖化血红蛋白等项目功能。</w:t>
      </w:r>
    </w:p>
    <w:p>
      <w:pPr>
        <w:rPr>
          <w:rFonts w:hint="default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8.五分类检测速度大于200个/小时，可扩展。</w:t>
      </w:r>
    </w:p>
    <w:p>
      <w:pPr>
        <w:rPr>
          <w:rFonts w:hint="default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9.有配套的质控品及校准品。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9.定期提供维保服务，至少每季度维保一次。</w:t>
      </w:r>
    </w:p>
    <w:p>
      <w:pPr>
        <w:rPr>
          <w:rFonts w:hint="default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10.具有提供专业的仪器校准及性能验证的能力，按照科室要求提供仪器校准服务及性能验证服务。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11.需报告单个测试的成本价，并确保达到。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12.需注明开展实验所需要的全部试剂及耗材及价格，如未注明，默认为公司配送，且配送满足工作需要。</w:t>
      </w:r>
    </w:p>
    <w:p>
      <w:pPr>
        <w:pStyle w:val="23"/>
        <w:ind w:left="0" w:leftChars="0" w:firstLine="0" w:firstLineChars="0"/>
        <w:rPr>
          <w:rFonts w:hint="default"/>
          <w:rtl w:val="0"/>
          <w:lang w:val="en-US" w:eastAsia="zh-CN"/>
        </w:rPr>
      </w:pPr>
    </w:p>
    <w:p>
      <w:pPr>
        <w:pStyle w:val="23"/>
        <w:ind w:left="0" w:leftChars="0" w:firstLine="0" w:firstLineChars="0"/>
        <w:rPr>
          <w:rFonts w:hint="default"/>
          <w:rtl w:val="0"/>
          <w:lang w:val="en-US" w:eastAsia="zh-CN"/>
        </w:rPr>
      </w:pPr>
    </w:p>
    <w:p>
      <w:pPr>
        <w:pStyle w:val="23"/>
        <w:ind w:left="0" w:leftChars="0" w:firstLine="0" w:firstLineChars="0"/>
        <w:rPr>
          <w:rFonts w:hint="default"/>
          <w:rtl w:val="0"/>
          <w:lang w:val="en-US" w:eastAsia="zh-CN"/>
        </w:rPr>
      </w:pPr>
    </w:p>
    <w:p>
      <w:pPr>
        <w:pStyle w:val="23"/>
        <w:ind w:left="0" w:leftChars="0" w:firstLine="0" w:firstLineChars="0"/>
        <w:rPr>
          <w:rFonts w:hint="default"/>
          <w:rtl w:val="0"/>
          <w:lang w:val="en-US" w:eastAsia="zh-CN"/>
        </w:rPr>
      </w:pPr>
    </w:p>
    <w:p>
      <w:pPr>
        <w:pStyle w:val="23"/>
        <w:ind w:left="0" w:leftChars="0" w:firstLine="0" w:firstLineChars="0"/>
        <w:rPr>
          <w:rFonts w:hint="default"/>
          <w:rtl w:val="0"/>
          <w:lang w:val="en-US" w:eastAsia="zh-CN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设备名称：腔镜工作站内超声波清洗机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72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pStyle w:val="16"/>
        <w:numPr>
          <w:ilvl w:val="0"/>
          <w:numId w:val="3"/>
        </w:numPr>
        <w:ind w:firstLineChars="0"/>
      </w:pPr>
      <w:r>
        <w:rPr>
          <w:rFonts w:hint="eastAsia"/>
        </w:rPr>
        <w:t>适用范围：适用于医疗机构内镜活检钳、硬式内窥镜、手术刀、止血钳等各类手术器械的清洗。</w:t>
      </w:r>
    </w:p>
    <w:p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设备电源：</w:t>
      </w:r>
      <w:r>
        <w:t>220V±</w:t>
      </w:r>
      <w:r>
        <w:rPr>
          <w:rFonts w:hint="eastAsia"/>
          <w:lang w:val="en-US" w:eastAsia="zh-CN"/>
        </w:rPr>
        <w:t>5</w:t>
      </w:r>
      <w:r>
        <w:t>V，50Hz±1Hz</w:t>
      </w:r>
      <w:r>
        <w:rPr>
          <w:rFonts w:hint="eastAsia"/>
        </w:rPr>
        <w:t>。</w:t>
      </w:r>
    </w:p>
    <w:p>
      <w:r>
        <w:rPr>
          <w:rFonts w:hint="eastAsia"/>
          <w:lang w:val="en-US" w:eastAsia="zh-CN"/>
        </w:rPr>
        <w:t>3.</w:t>
      </w:r>
      <w:r>
        <w:rPr>
          <w:rFonts w:hint="eastAsia"/>
        </w:rPr>
        <w:t>台面、功能背板</w:t>
      </w:r>
      <w:r>
        <w:rPr>
          <w:rFonts w:hint="eastAsia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主体与材质要求：</w:t>
      </w:r>
      <w:r>
        <w:rPr>
          <w:rFonts w:hint="eastAsia"/>
        </w:rPr>
        <w:t>：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cs="宋体"/>
          <w:color w:val="auto"/>
          <w:kern w:val="0"/>
          <w:szCs w:val="21"/>
          <w:lang w:bidi="ar"/>
        </w:rPr>
      </w:pPr>
      <w:r>
        <w:rPr>
          <w:rFonts w:hint="eastAsia"/>
          <w:lang w:val="en-US" w:eastAsia="zh-CN"/>
        </w:rPr>
        <w:t>3</w:t>
      </w:r>
      <w:r>
        <w:t>.1.</w:t>
      </w:r>
      <w:r>
        <w:rPr>
          <w:rFonts w:hint="eastAsia"/>
        </w:rPr>
        <w:t>台面、功能背板</w:t>
      </w:r>
      <w:r>
        <w:rPr>
          <w:rFonts w:hint="eastAsia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主体，采用改性PMMA高分子材料，PMMA-ABS板材的拉伸强度、断裂生长率、弯曲强度、简支梁缺口冲击强度，且能达到拉伸强度≥135.0MPa、断裂生长率≥15.7%、弯曲强度≥253.9MPa、简支梁缺口冲击强度≥10.2CkJ/m2、10%应变时的压缩应力≥453.9MPa，供货时提供制造商材料拉伸强度、断裂生长率、弯曲强度、简支梁缺口冲击强度及10%应变时的压缩应力的检测报告复印件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kern w:val="0"/>
          <w:szCs w:val="21"/>
          <w:lang w:bidi="ar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 w:bidi="ar"/>
        </w:rPr>
        <w:t>3.2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用模具一体成形，具有抗压强度高，柔韧性好，耐侯性优良；抗氧化，耐强酸强碱，满足清洗槽使用消毒液不腐蚀（供货时提供PMMA-ABS板耐化学试剂1%NaOH溶液和5% H2SO4溶液腐蚀的检测报告，并且板材在其中浸泡48小时无可视变化）；表面光滑，易清洗；耐磨损，寿命长，损伤后极易修复；对人体无毒性等。无任何接缝，所有倒角为大圆弧，保证无卫生死角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 w:bidi="ar"/>
        </w:rPr>
        <w:t>。</w:t>
      </w:r>
    </w:p>
    <w:p>
      <w:pPr>
        <w:ind w:left="480" w:hanging="420" w:hangingChars="200"/>
        <w:rPr>
          <w:rFonts w:hint="eastAsia" w:eastAsia="宋体"/>
          <w:lang w:eastAsia="zh-CN"/>
        </w:rPr>
      </w:pPr>
      <w:bookmarkStart w:id="0" w:name="_Hlk138691209"/>
      <w:r>
        <w:rPr>
          <w:rFonts w:hint="eastAsia"/>
          <w:lang w:val="en-US" w:eastAsia="zh-CN"/>
        </w:rPr>
        <w:t>4.</w:t>
      </w:r>
      <w:r>
        <w:rPr>
          <w:rFonts w:hint="eastAsia"/>
          <w:b/>
          <w:bCs/>
          <w:lang w:val="en-US" w:eastAsia="zh-CN"/>
        </w:rPr>
        <w:t>主体</w:t>
      </w:r>
      <w:r>
        <w:rPr>
          <w:rFonts w:hint="eastAsia"/>
          <w:b/>
          <w:bCs/>
        </w:rPr>
        <w:t>尺寸：台面高度</w:t>
      </w:r>
      <w:r>
        <w:rPr>
          <w:b/>
          <w:bCs/>
        </w:rPr>
        <w:t>880mm，前后宽度785mm，左右长度</w:t>
      </w:r>
      <w:r>
        <w:rPr>
          <w:rFonts w:hint="eastAsia"/>
          <w:b/>
          <w:bCs/>
          <w:lang w:val="en-US" w:eastAsia="zh-CN"/>
        </w:rPr>
        <w:t>1000</w:t>
      </w:r>
      <w:r>
        <w:rPr>
          <w:b/>
          <w:bCs/>
        </w:rPr>
        <w:t>mm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功能</w:t>
      </w:r>
      <w:r>
        <w:rPr>
          <w:b/>
          <w:bCs/>
        </w:rPr>
        <w:t>背板高度1820mm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误差应在±1%范围内</w:t>
      </w:r>
      <w:r>
        <w:rPr>
          <w:b/>
          <w:bCs/>
        </w:rPr>
        <w:t>。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必须满足</w:t>
      </w:r>
      <w:r>
        <w:rPr>
          <w:rFonts w:hint="eastAsia"/>
          <w:b/>
          <w:bCs/>
          <w:lang w:eastAsia="zh-CN"/>
        </w:rPr>
        <w:t>）</w:t>
      </w:r>
    </w:p>
    <w:bookmarkEnd w:id="0"/>
    <w:p>
      <w:pPr>
        <w:ind w:left="425" w:hanging="371" w:hangingChars="177"/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柜门材质</w:t>
      </w:r>
      <w:r>
        <w:t>;耐腐蚀、易清洁</w:t>
      </w:r>
      <w:r>
        <w:rPr>
          <w:rFonts w:hint="eastAsia"/>
        </w:rPr>
        <w:t>。</w:t>
      </w:r>
    </w:p>
    <w:p>
      <w:pPr>
        <w:ind w:left="425" w:hanging="371" w:hangingChars="177"/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柜门设计：</w:t>
      </w:r>
      <w:r>
        <w:t>柜门采用上挡板和下柜门分体设</w:t>
      </w:r>
      <w:r>
        <w:rPr>
          <w:rFonts w:hint="eastAsia"/>
        </w:rPr>
        <w:t>计，非整体柜门设计。</w:t>
      </w:r>
    </w:p>
    <w:p>
      <w:pPr>
        <w:ind w:left="425" w:hanging="371" w:hangingChars="177"/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开门方式：柜门与把手柜门由阻尼饺链实现自动闭合。</w:t>
      </w:r>
    </w:p>
    <w:p>
      <w:pPr>
        <w:pStyle w:val="16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清洗槽容积≥43L，内舱尺寸≥750*380*160mm。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必须满足</w:t>
      </w:r>
      <w:r>
        <w:rPr>
          <w:rFonts w:hint="eastAsia"/>
          <w:b/>
          <w:bCs/>
          <w:lang w:eastAsia="zh-CN"/>
        </w:rPr>
        <w:t>）</w:t>
      </w:r>
    </w:p>
    <w:p>
      <w:pPr>
        <w:pStyle w:val="16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9.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具有三种超声清洗频率，分别为40KHz、80KHz、100KHz，可分别组合，实现一机单频、一机双频、一机三频的清洗方式。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必须满足</w:t>
      </w:r>
      <w:r>
        <w:rPr>
          <w:rFonts w:hint="eastAsia"/>
          <w:b/>
          <w:bCs/>
          <w:lang w:eastAsia="zh-CN"/>
        </w:rPr>
        <w:t>）</w:t>
      </w:r>
    </w:p>
    <w:p>
      <w:pPr>
        <w:pStyle w:val="16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10.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为避免器械损伤，采用隐藏式加热方式，实现自动加热，并可对清洗温度进行调节。</w:t>
      </w:r>
    </w:p>
    <w:p>
      <w:pPr>
        <w:pStyle w:val="16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11.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清洗剂自动投放，可根据清洗剂比例，自动投放清洗剂。</w:t>
      </w:r>
    </w:p>
    <w:p>
      <w:pPr>
        <w:pStyle w:val="16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12.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超声功率可通过触摸屏进行实时调整，功率调整范围1%～100%。</w:t>
      </w:r>
    </w:p>
    <w:p>
      <w:pPr>
        <w:pStyle w:val="16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13.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控制系统采用PLC系统加7寸彩色触摸屏，实现清洗过程的温度、时间、超声频率、超声功率可实时显示，并通过密码实现调节。</w:t>
      </w:r>
    </w:p>
    <w:p>
      <w:pPr>
        <w:pStyle w:val="16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14.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设备具有四种预设程序，分别为单频、多频、手动和自定义程序，可实现不同器械快速选择不同程序的清洗方式。</w:t>
      </w:r>
    </w:p>
    <w:p>
      <w:pPr>
        <w:pStyle w:val="16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15.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具有自动进水、排水、加酶功能，完全实现全自动控制。</w:t>
      </w:r>
    </w:p>
    <w:p>
      <w:pPr>
        <w:pStyle w:val="16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16.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利用循环泵循环加热，具有冲洗的功能。</w:t>
      </w:r>
    </w:p>
    <w:p>
      <w:pPr>
        <w:pStyle w:val="16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17.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采用一体化超声波发生器，采用进口元器件作为超声波电源，超声频率更稳定。</w:t>
      </w:r>
    </w:p>
    <w:p>
      <w:pPr>
        <w:rPr>
          <w:b w:val="0"/>
          <w:bCs w:val="0"/>
          <w:color w:val="auto"/>
          <w:sz w:val="24"/>
          <w:szCs w:val="24"/>
        </w:rPr>
      </w:pPr>
    </w:p>
    <w:p>
      <w:pPr>
        <w:pStyle w:val="23"/>
        <w:ind w:left="0" w:leftChars="0" w:firstLine="0" w:firstLineChars="0"/>
        <w:rPr>
          <w:rFonts w:hint="default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6F416015"/>
    <w:multiLevelType w:val="multilevel"/>
    <w:tmpl w:val="6F41601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AB045C"/>
    <w:rsid w:val="10234B61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5ED47B3"/>
    <w:rsid w:val="26D8273E"/>
    <w:rsid w:val="2709334C"/>
    <w:rsid w:val="2D257878"/>
    <w:rsid w:val="30082809"/>
    <w:rsid w:val="302A31AC"/>
    <w:rsid w:val="319A7E85"/>
    <w:rsid w:val="33BF66E2"/>
    <w:rsid w:val="341D7F25"/>
    <w:rsid w:val="34F352BA"/>
    <w:rsid w:val="37526F2B"/>
    <w:rsid w:val="3945168C"/>
    <w:rsid w:val="3D861AF0"/>
    <w:rsid w:val="3E7F33BB"/>
    <w:rsid w:val="3F501B73"/>
    <w:rsid w:val="41342E9D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B4827C8"/>
    <w:rsid w:val="5E1F0659"/>
    <w:rsid w:val="5EFB5FD4"/>
    <w:rsid w:val="603574B1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styleId="16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7">
    <w:name w:val="apple-style-span"/>
    <w:basedOn w:val="14"/>
    <w:autoRedefine/>
    <w:qFormat/>
    <w:uiPriority w:val="0"/>
  </w:style>
  <w:style w:type="character" w:customStyle="1" w:styleId="18">
    <w:name w:val="页脚 字符"/>
    <w:basedOn w:val="14"/>
    <w:link w:val="7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1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2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3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4"/>
    <w:autoRedefine/>
    <w:qFormat/>
    <w:uiPriority w:val="0"/>
  </w:style>
  <w:style w:type="character" w:customStyle="1" w:styleId="29">
    <w:name w:val="eop"/>
    <w:basedOn w:val="14"/>
    <w:autoRedefine/>
    <w:qFormat/>
    <w:uiPriority w:val="0"/>
  </w:style>
  <w:style w:type="character" w:customStyle="1" w:styleId="30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14</TotalTime>
  <ScaleCrop>false</ScaleCrop>
  <LinksUpToDate>false</LinksUpToDate>
  <CharactersWithSpaces>808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2024-04-26T03:52:00Z</cp:lastPrinted>
  <dcterms:modified xsi:type="dcterms:W3CDTF">2024-04-28T03:46:05Z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4AC06BCA9B924D0AA08A28B43A358F85</vt:lpwstr>
  </property>
</Properties>
</file>