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华文仿宋" w:hAnsi="华文仿宋" w:eastAsia="华文仿宋" w:cs="宋体"/>
          <w:color w:val="auto"/>
          <w:kern w:val="0"/>
          <w:sz w:val="28"/>
          <w:szCs w:val="28"/>
          <w:lang w:val="en-US" w:eastAsia="zh-CN"/>
        </w:rPr>
      </w:pPr>
      <w:r>
        <w:rPr>
          <w:rFonts w:hint="eastAsia" w:ascii="华文仿宋" w:hAnsi="华文仿宋" w:eastAsia="华文仿宋" w:cs="宋体"/>
          <w:color w:val="auto"/>
          <w:kern w:val="0"/>
          <w:sz w:val="28"/>
          <w:szCs w:val="28"/>
          <w:lang w:val="en-US" w:eastAsia="zh-CN"/>
        </w:rPr>
        <w:t>评分标准</w:t>
      </w:r>
    </w:p>
    <w:tbl>
      <w:tblPr>
        <w:tblStyle w:val="2"/>
        <w:tblW w:w="9315" w:type="dxa"/>
        <w:tblInd w:w="-261" w:type="dxa"/>
        <w:tblLayout w:type="fixed"/>
        <w:tblCellMar>
          <w:top w:w="0" w:type="dxa"/>
          <w:left w:w="108" w:type="dxa"/>
          <w:bottom w:w="0" w:type="dxa"/>
          <w:right w:w="108" w:type="dxa"/>
        </w:tblCellMar>
      </w:tblPr>
      <w:tblGrid>
        <w:gridCol w:w="1464"/>
        <w:gridCol w:w="1356"/>
        <w:gridCol w:w="5064"/>
        <w:gridCol w:w="1431"/>
      </w:tblGrid>
      <w:tr>
        <w:tblPrEx>
          <w:tblCellMar>
            <w:top w:w="0" w:type="dxa"/>
            <w:left w:w="108" w:type="dxa"/>
            <w:bottom w:w="0" w:type="dxa"/>
            <w:right w:w="108" w:type="dxa"/>
          </w:tblCellMar>
        </w:tblPrEx>
        <w:trPr>
          <w:trHeight w:val="300" w:hRule="atLeast"/>
          <w:tblHeader/>
        </w:trPr>
        <w:tc>
          <w:tcPr>
            <w:tcW w:w="14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422" w:firstLineChars="20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color w:val="auto"/>
                <w:sz w:val="21"/>
                <w:szCs w:val="21"/>
                <w:u w:val="none"/>
                <w:lang w:val="en-US" w:eastAsia="zh-CN" w:bidi="ar"/>
              </w:rPr>
              <w:t>项目</w:t>
            </w:r>
          </w:p>
        </w:tc>
        <w:tc>
          <w:tcPr>
            <w:tcW w:w="13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211" w:firstLineChars="10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color w:val="auto"/>
                <w:sz w:val="21"/>
                <w:szCs w:val="21"/>
                <w:u w:val="none"/>
                <w:lang w:val="en-US" w:eastAsia="zh-CN" w:bidi="ar"/>
              </w:rPr>
              <w:t>评审因素</w:t>
            </w:r>
          </w:p>
        </w:tc>
        <w:tc>
          <w:tcPr>
            <w:tcW w:w="5064"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360" w:lineRule="auto"/>
              <w:ind w:firstLine="1476" w:firstLineChars="70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color w:val="auto"/>
                <w:sz w:val="21"/>
                <w:szCs w:val="21"/>
                <w:u w:val="none"/>
                <w:lang w:val="en-US" w:eastAsia="zh-CN" w:bidi="ar"/>
              </w:rPr>
              <w:t>评分标准</w:t>
            </w:r>
          </w:p>
        </w:tc>
        <w:tc>
          <w:tcPr>
            <w:tcW w:w="143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422" w:firstLineChars="20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color w:val="auto"/>
                <w:sz w:val="21"/>
                <w:szCs w:val="21"/>
                <w:u w:val="none"/>
                <w:lang w:val="en-US" w:eastAsia="zh-CN" w:bidi="ar"/>
              </w:rPr>
              <w:t>分值</w:t>
            </w:r>
          </w:p>
        </w:tc>
      </w:tr>
      <w:tr>
        <w:tblPrEx>
          <w:tblCellMar>
            <w:top w:w="0" w:type="dxa"/>
            <w:left w:w="108" w:type="dxa"/>
            <w:bottom w:w="0" w:type="dxa"/>
            <w:right w:w="108" w:type="dxa"/>
          </w:tblCellMar>
        </w:tblPrEx>
        <w:trPr>
          <w:trHeight w:val="580" w:hRule="atLeast"/>
        </w:trPr>
        <w:tc>
          <w:tcPr>
            <w:tcW w:w="146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价格部分（15分）</w:t>
            </w:r>
          </w:p>
        </w:tc>
        <w:tc>
          <w:tcPr>
            <w:tcW w:w="1356"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低价优先法</w:t>
            </w:r>
          </w:p>
        </w:tc>
        <w:tc>
          <w:tcPr>
            <w:tcW w:w="506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满足招标文件要求且投标价格最低的为评标基准价，其报价分为满分15分。其他投标人的报价分按照下列公式计算：报价分=(评标基准价／投标报价)×15。</w:t>
            </w:r>
            <w:bookmarkStart w:id="0" w:name="_GoBack"/>
            <w:bookmarkEnd w:id="0"/>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注：以落实政府采购政策价格优惠后价格参与评审</w:t>
            </w:r>
          </w:p>
        </w:tc>
        <w:tc>
          <w:tcPr>
            <w:tcW w:w="143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firstLine="420" w:firstLineChars="20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w:t>
            </w:r>
          </w:p>
        </w:tc>
      </w:tr>
      <w:tr>
        <w:tblPrEx>
          <w:tblCellMar>
            <w:top w:w="0" w:type="dxa"/>
            <w:left w:w="108" w:type="dxa"/>
            <w:bottom w:w="0" w:type="dxa"/>
            <w:right w:w="108" w:type="dxa"/>
          </w:tblCellMar>
        </w:tblPrEx>
        <w:trPr>
          <w:trHeight w:val="132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12" w:hRule="atLeast"/>
        </w:trPr>
        <w:tc>
          <w:tcPr>
            <w:tcW w:w="1464" w:type="dxa"/>
            <w:vMerge w:val="restart"/>
            <w:tcBorders>
              <w:top w:val="nil"/>
              <w:left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商务部分（35分）</w:t>
            </w:r>
          </w:p>
        </w:tc>
        <w:tc>
          <w:tcPr>
            <w:tcW w:w="135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类似业绩</w:t>
            </w:r>
          </w:p>
        </w:tc>
        <w:tc>
          <w:tcPr>
            <w:tcW w:w="5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投标人提供近3年（投标截止日期往前推算3年以合同签订时间为准）类似项目相关业绩，每提供一份业绩得1分，满分5分。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注：须提供合同的复印件并加盖公章，未提供或未按要求提供的不得分。</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919" w:hRule="atLeast"/>
        </w:trPr>
        <w:tc>
          <w:tcPr>
            <w:tcW w:w="1464" w:type="dxa"/>
            <w:vMerge w:val="continue"/>
            <w:tcBorders>
              <w:left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35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企业实力</w:t>
            </w:r>
          </w:p>
        </w:tc>
        <w:tc>
          <w:tcPr>
            <w:tcW w:w="5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1、投标人具有质量管理体系认证证书，得3分，未提供不得分。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2、投标人具有国家秘密载体印制甲级资质证书得3分，乙级资质证书得2分，未提供不得分。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3、投标人有参与或承担档案行业相关国家标准制定的得3分，未提供不得分。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4、投标人具有国家级档案部门颁发优秀科技成果奖项得3分，未提供不得分。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5、投标人具有商品售后服务认证体系五星级认证证书，认证范围包含数字化归档管理、档案托管的售后服务的得3分，未提供不得分。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注：须提供证书复印件并加盖公章，未提供或未按要求提供的不得分</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tblPrEx>
          <w:tblCellMar>
            <w:top w:w="0" w:type="dxa"/>
            <w:left w:w="108" w:type="dxa"/>
            <w:bottom w:w="0" w:type="dxa"/>
            <w:right w:w="108" w:type="dxa"/>
          </w:tblCellMar>
        </w:tblPrEx>
        <w:trPr>
          <w:trHeight w:val="90" w:hRule="atLeast"/>
        </w:trPr>
        <w:tc>
          <w:tcPr>
            <w:tcW w:w="1464" w:type="dxa"/>
            <w:vMerge w:val="continue"/>
            <w:tcBorders>
              <w:left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人员运维能力</w:t>
            </w:r>
          </w:p>
        </w:tc>
        <w:tc>
          <w:tcPr>
            <w:tcW w:w="5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1、拟投入本项目的项目经理具有本科或以上学历，且同时具有计算机中级或以上职称证书与保密教育培训证书的得6分，未同时具备不得分。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2、拟投入本项目的技术人员具有国家信息安全水平证书且同时具有保密教育培训证书得2分。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3、拟投入本项目的技术人员具有档案培训证书的得2分。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注：（提供社保及有效的相关证明材料）</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r>
      <w:tr>
        <w:tblPrEx>
          <w:tblCellMar>
            <w:top w:w="0" w:type="dxa"/>
            <w:left w:w="108" w:type="dxa"/>
            <w:bottom w:w="0" w:type="dxa"/>
            <w:right w:w="108" w:type="dxa"/>
          </w:tblCellMar>
        </w:tblPrEx>
        <w:trPr>
          <w:trHeight w:val="312" w:hRule="atLeast"/>
        </w:trPr>
        <w:tc>
          <w:tcPr>
            <w:tcW w:w="1464" w:type="dxa"/>
            <w:vMerge w:val="continue"/>
            <w:tcBorders>
              <w:left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售后服务</w:t>
            </w:r>
          </w:p>
        </w:tc>
        <w:tc>
          <w:tcPr>
            <w:tcW w:w="5064" w:type="dxa"/>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根据投标人提供的售后服务保证措施(含但不限于售后服务人员安排、工作计划、应对方案等)进行评分。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故障报修响应时间工作日内不超过4小时、内容详尽、科学合理、针对性强，得5分；内容完备，合理可行，得3分；内容欠缺、基本可行得1分；不可行或未提供的不得分</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720" w:hRule="atLeast"/>
        </w:trPr>
        <w:tc>
          <w:tcPr>
            <w:tcW w:w="146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技术部分（50分）</w:t>
            </w:r>
          </w:p>
        </w:tc>
        <w:tc>
          <w:tcPr>
            <w:tcW w:w="1356"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整体服务方案</w:t>
            </w:r>
          </w:p>
        </w:tc>
        <w:tc>
          <w:tcPr>
            <w:tcW w:w="506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根据投标人提供的整体服务方案进行评分(包含但不限于：操作流程、整体规划、计划进度安排保障措施等）。</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内容详尽、科学合理、针对性强的，得6分；内容完备，合理可行的，得4分；内容完备但不够详细的，得2分；内容欠缺、基本可行得1分；不可行或未提供的不得分。</w:t>
            </w:r>
          </w:p>
        </w:tc>
        <w:tc>
          <w:tcPr>
            <w:tcW w:w="143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r>
      <w:tr>
        <w:tblPrEx>
          <w:tblCellMar>
            <w:top w:w="0" w:type="dxa"/>
            <w:left w:w="108" w:type="dxa"/>
            <w:bottom w:w="0" w:type="dxa"/>
            <w:right w:w="108" w:type="dxa"/>
          </w:tblCellMar>
        </w:tblPrEx>
        <w:trPr>
          <w:trHeight w:val="6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431"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CellMar>
            <w:top w:w="0" w:type="dxa"/>
            <w:left w:w="108" w:type="dxa"/>
            <w:bottom w:w="0" w:type="dxa"/>
            <w:right w:w="108" w:type="dxa"/>
          </w:tblCellMar>
        </w:tblPrEx>
        <w:trPr>
          <w:trHeight w:val="58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restart"/>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技术加工处理设备的先进性</w:t>
            </w:r>
          </w:p>
        </w:tc>
        <w:tc>
          <w:tcPr>
            <w:tcW w:w="506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根据投标人提供的技术加工处理设备的先进性及配置方案进行评分。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方案内容详尽、科学合理、针对性强得5分；内容完备，合理可行的，得3分；内容欠缺、基本可行得1分；不可行或未提供的不得分。</w:t>
            </w:r>
          </w:p>
        </w:tc>
        <w:tc>
          <w:tcPr>
            <w:tcW w:w="143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66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431"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CellMar>
            <w:top w:w="0" w:type="dxa"/>
            <w:left w:w="108" w:type="dxa"/>
            <w:bottom w:w="0" w:type="dxa"/>
            <w:right w:w="108" w:type="dxa"/>
          </w:tblCellMar>
        </w:tblPrEx>
        <w:trPr>
          <w:trHeight w:val="66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投标人所投缩微数字化加工设备具有相关的专利证书，每提供一项专利得2分，满分8分；不提供不得分。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注：须提供证书复印件并加盖公章，未提供或未按要求提供的不得分</w:t>
            </w:r>
          </w:p>
        </w:tc>
        <w:tc>
          <w:tcPr>
            <w:tcW w:w="143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r>
      <w:tr>
        <w:tblPrEx>
          <w:tblCellMar>
            <w:top w:w="0" w:type="dxa"/>
            <w:left w:w="108" w:type="dxa"/>
            <w:bottom w:w="0" w:type="dxa"/>
            <w:right w:w="108" w:type="dxa"/>
          </w:tblCellMar>
        </w:tblPrEx>
        <w:trPr>
          <w:trHeight w:val="48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nil"/>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78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nil"/>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设备拍摄的图像支持保存相关元数据信息，如数字化拍摄时间、设备信息和曝光参数等得2分，提供相关的证明材料，未提供的不得分。</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r>
        <w:tblPrEx>
          <w:tblCellMar>
            <w:top w:w="0" w:type="dxa"/>
            <w:left w:w="108" w:type="dxa"/>
            <w:bottom w:w="0" w:type="dxa"/>
            <w:right w:w="108" w:type="dxa"/>
          </w:tblCellMar>
        </w:tblPrEx>
        <w:trPr>
          <w:trHeight w:val="8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nil"/>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设备具备自动色彩校正和暗角校正功能,确保拍摄影像质量的得2分，提供相关证明材料，未提供的不得分。</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r>
        <w:tblPrEx>
          <w:tblCellMar>
            <w:top w:w="0" w:type="dxa"/>
            <w:left w:w="108" w:type="dxa"/>
            <w:bottom w:w="0" w:type="dxa"/>
            <w:right w:w="108" w:type="dxa"/>
          </w:tblCellMar>
        </w:tblPrEx>
        <w:trPr>
          <w:trHeight w:val="78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nil"/>
              <w:left w:val="nil"/>
              <w:bottom w:val="nil"/>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设备具备影像预处理功能，如自动纠偏、自动裁边等得2分，提供相关证明材料，未提供的不得分。</w:t>
            </w:r>
          </w:p>
        </w:tc>
        <w:tc>
          <w:tcPr>
            <w:tcW w:w="143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r>
        <w:tblPrEx>
          <w:tblCellMar>
            <w:top w:w="0" w:type="dxa"/>
            <w:left w:w="108" w:type="dxa"/>
            <w:bottom w:w="0" w:type="dxa"/>
            <w:right w:w="108" w:type="dxa"/>
          </w:tblCellMar>
        </w:tblPrEx>
        <w:trPr>
          <w:trHeight w:val="5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数字化影像拍摄质量</w:t>
            </w:r>
          </w:p>
        </w:tc>
        <w:tc>
          <w:tcPr>
            <w:tcW w:w="506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根据数字化影像拍摄质量的响应情况进行评分：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1、保持原有纸质病案的书面质量、文字、图像完整，细节不丢失，扫描图像的打印件与病案原稿清晰度一致。</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2、倾斜角度：数字化影像要求端正清晰，即使少量倾斜的影像数量控制在5%以内，且倾斜角度不大于5度。</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对出现偏斜的图像应进行纠偏处理，以达到视觉上基本不感觉偏斜为准。对方向不正确的图像应进行旋转还原，以符合阅读习惯。</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3、缩微影像符合解像力 125 线对以上，密度 0.75—1.25 之间，彩色数字影像单幅图像分辨率 200 万像素或以上。</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4、扫描要求：全部文件采用彩色扫描，图像文件采用JPEG格式保存。</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每满足1项得1分，最高得4分。需提供相关证明材料，未提供的不得分</w:t>
            </w:r>
          </w:p>
        </w:tc>
        <w:tc>
          <w:tcPr>
            <w:tcW w:w="143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r>
      <w:tr>
        <w:tblPrEx>
          <w:tblCellMar>
            <w:top w:w="0" w:type="dxa"/>
            <w:left w:w="108" w:type="dxa"/>
            <w:bottom w:w="0" w:type="dxa"/>
            <w:right w:w="108" w:type="dxa"/>
          </w:tblCellMar>
        </w:tblPrEx>
        <w:trPr>
          <w:trHeight w:val="5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5064"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left"/>
              <w:rPr>
                <w:rFonts w:hint="eastAsia" w:ascii="宋体" w:hAnsi="宋体" w:eastAsia="宋体" w:cs="宋体"/>
                <w:i w:val="0"/>
                <w:iCs w:val="0"/>
                <w:color w:val="auto"/>
                <w:sz w:val="21"/>
                <w:szCs w:val="21"/>
                <w:u w:val="none"/>
              </w:rPr>
            </w:pPr>
          </w:p>
        </w:tc>
        <w:tc>
          <w:tcPr>
            <w:tcW w:w="1431" w:type="dxa"/>
            <w:vMerge w:val="continue"/>
            <w:tcBorders>
              <w:top w:val="nil"/>
              <w:left w:val="nil"/>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44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356" w:type="dxa"/>
            <w:vMerge w:val="restart"/>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病案信息管理系统</w:t>
            </w:r>
          </w:p>
        </w:tc>
        <w:tc>
          <w:tcPr>
            <w:tcW w:w="5064" w:type="dxa"/>
            <w:vMerge w:val="restart"/>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根据企业系统软件开发能力响应评分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1、投标人具有病案管理数据可视化系统软件著作权，得3分，未提供不得分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2、投标人具有病案缩微数码影像与信息管理系统软件著作权，得3分，未提供不得分。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注：须提供证书复印件并加盖公章，未提供或未按要求提供的不得分</w:t>
            </w:r>
          </w:p>
        </w:tc>
        <w:tc>
          <w:tcPr>
            <w:tcW w:w="1431" w:type="dxa"/>
            <w:vMerge w:val="restart"/>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r>
      <w:tr>
        <w:tblPrEx>
          <w:tblCellMar>
            <w:top w:w="0" w:type="dxa"/>
            <w:left w:w="108" w:type="dxa"/>
            <w:bottom w:w="0" w:type="dxa"/>
            <w:right w:w="108" w:type="dxa"/>
          </w:tblCellMar>
        </w:tblPrEx>
        <w:trPr>
          <w:trHeight w:val="108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356"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431"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CellMar>
            <w:top w:w="0" w:type="dxa"/>
            <w:left w:w="108" w:type="dxa"/>
            <w:bottom w:w="0" w:type="dxa"/>
            <w:right w:w="108" w:type="dxa"/>
          </w:tblCellMar>
        </w:tblPrEx>
        <w:trPr>
          <w:trHeight w:val="795"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356"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431" w:type="dxa"/>
            <w:vMerge w:val="continue"/>
            <w:tcBorders>
              <w:top w:val="nil"/>
              <w:left w:val="nil"/>
              <w:bottom w:val="nil"/>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CellMar>
            <w:top w:w="0" w:type="dxa"/>
            <w:left w:w="108" w:type="dxa"/>
            <w:bottom w:w="0" w:type="dxa"/>
            <w:right w:w="108" w:type="dxa"/>
          </w:tblCellMar>
        </w:tblPrEx>
        <w:trPr>
          <w:trHeight w:val="8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restart"/>
            <w:tcBorders>
              <w:top w:val="single" w:color="000000" w:sz="8" w:space="0"/>
              <w:left w:val="single" w:color="000000" w:sz="8" w:space="0"/>
              <w:bottom w:val="single" w:color="000000" w:sz="4" w:space="0"/>
              <w:right w:val="nil"/>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项目实施</w:t>
            </w:r>
          </w:p>
        </w:tc>
        <w:tc>
          <w:tcPr>
            <w:tcW w:w="5064" w:type="dxa"/>
            <w:vMerge w:val="restart"/>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根据投标人提供的投入人员配置方案进行评分(包含但不限于实施人员、岗位职责、项目计划)。</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内容详尽、科学合理、针对性强的，5分；内容完备，合理可行的得3分；内容完备但不够详细的，得2分；内容欠缺、基本可行得1分；不可行或未提供的不得分。</w:t>
            </w:r>
          </w:p>
        </w:tc>
        <w:tc>
          <w:tcPr>
            <w:tcW w:w="1431" w:type="dxa"/>
            <w:vMerge w:val="restart"/>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80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single" w:color="000000" w:sz="8" w:space="0"/>
              <w:bottom w:val="single" w:color="000000" w:sz="4" w:space="0"/>
              <w:right w:val="nil"/>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vMerge w:val="continue"/>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431" w:type="dxa"/>
            <w:vMerge w:val="continue"/>
            <w:tcBorders>
              <w:top w:val="single" w:color="000000" w:sz="8" w:space="0"/>
              <w:left w:val="nil"/>
              <w:bottom w:val="single" w:color="000000" w:sz="4"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CellMar>
            <w:top w:w="0" w:type="dxa"/>
            <w:left w:w="108" w:type="dxa"/>
            <w:bottom w:w="0" w:type="dxa"/>
            <w:right w:w="108" w:type="dxa"/>
          </w:tblCellMar>
        </w:tblPrEx>
        <w:trPr>
          <w:trHeight w:val="132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single" w:color="000000" w:sz="8" w:space="0"/>
              <w:bottom w:val="single" w:color="000000" w:sz="4" w:space="0"/>
              <w:right w:val="nil"/>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tcBorders>
              <w:top w:val="single" w:color="000000" w:sz="4" w:space="0"/>
              <w:left w:val="single" w:color="000000" w:sz="8" w:space="0"/>
              <w:bottom w:val="nil"/>
              <w:right w:val="single" w:color="000000" w:sz="8" w:space="0"/>
            </w:tcBorders>
            <w:noWrap w:val="0"/>
            <w:vAlign w:val="center"/>
          </w:tcPr>
          <w:p>
            <w:pPr>
              <w:keepNext w:val="0"/>
              <w:keepLines w:val="0"/>
              <w:widowControl/>
              <w:suppressLineNumbers w:val="0"/>
              <w:spacing w:line="360" w:lineRule="auto"/>
              <w:ind w:left="0" w:leftChars="0"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根据供应商提供的应急预案措施方案进行评分。</w:t>
            </w:r>
          </w:p>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内容详尽、科学合理、针对性强的，得5分；内容完备，合理可行的，得3分；内容完备但不够详细的，得2分；内容欠缺、基本可行得1分；不可行或未提供的不得分</w:t>
            </w:r>
          </w:p>
        </w:tc>
        <w:tc>
          <w:tcPr>
            <w:tcW w:w="1431"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1260" w:hRule="atLeast"/>
        </w:trPr>
        <w:tc>
          <w:tcPr>
            <w:tcW w:w="1464" w:type="dxa"/>
            <w:vMerge w:val="continue"/>
            <w:tcBorders>
              <w:top w:val="nil"/>
              <w:left w:val="single" w:color="000000" w:sz="8" w:space="0"/>
              <w:bottom w:val="single" w:color="000000" w:sz="8" w:space="0"/>
              <w:right w:val="single" w:color="000000" w:sz="8" w:space="0"/>
            </w:tcBorders>
            <w:noWrap w:val="0"/>
            <w:vAlign w:val="center"/>
          </w:tcPr>
          <w:p>
            <w:pPr>
              <w:spacing w:line="360" w:lineRule="auto"/>
              <w:ind w:firstLine="420" w:firstLineChars="200"/>
              <w:jc w:val="center"/>
              <w:rPr>
                <w:rFonts w:hint="eastAsia" w:ascii="宋体" w:hAnsi="宋体" w:eastAsia="宋体" w:cs="宋体"/>
                <w:i w:val="0"/>
                <w:iCs w:val="0"/>
                <w:color w:val="auto"/>
                <w:sz w:val="21"/>
                <w:szCs w:val="21"/>
                <w:u w:val="none"/>
              </w:rPr>
            </w:pPr>
          </w:p>
        </w:tc>
        <w:tc>
          <w:tcPr>
            <w:tcW w:w="1356" w:type="dxa"/>
            <w:vMerge w:val="continue"/>
            <w:tcBorders>
              <w:top w:val="single" w:color="000000" w:sz="8" w:space="0"/>
              <w:left w:val="single" w:color="000000" w:sz="8" w:space="0"/>
              <w:bottom w:val="single" w:color="000000" w:sz="4" w:space="0"/>
              <w:right w:val="nil"/>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5064" w:type="dxa"/>
            <w:tcBorders>
              <w:top w:val="single" w:color="000000"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根据投标人提供病案安全与保密方案进行评分（能保障医院病案原件和病案影像数据的安全）。内容详尽、科学合理、针对性强的，得5分；内容完备，合理可行的，得3分；内容完备但不够详细的，得2分；内容欠缺、基本可行得1分；不可行或未提供的不得分。</w:t>
            </w:r>
          </w:p>
        </w:tc>
        <w:tc>
          <w:tcPr>
            <w:tcW w:w="1431" w:type="dxa"/>
            <w:tcBorders>
              <w:top w:val="single" w:color="000000" w:sz="4" w:space="0"/>
              <w:left w:val="nil"/>
              <w:bottom w:val="single" w:color="000000" w:sz="8" w:space="0"/>
              <w:right w:val="single" w:color="000000" w:sz="8" w:space="0"/>
            </w:tcBorders>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0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2024-05-15T06:49:41Z</dcterms:created>
  <dc:creator>zbb</dc:creator>
  <cp:lastModifiedBy>zbb</cp:lastModifiedBy>
  <dcterms:modified xsi:type="dcterms:W3CDTF">2024-05-15T06:50:01Z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