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kern w:val="0"/>
          <w:sz w:val="36"/>
          <w:szCs w:val="36"/>
        </w:rPr>
      </w:pPr>
      <w:r>
        <w:rPr>
          <w:rFonts w:ascii="Arial" w:hAnsi="Arial" w:cs="Arial"/>
          <w:b/>
          <w:bCs/>
          <w:kern w:val="0"/>
          <w:sz w:val="36"/>
          <w:szCs w:val="36"/>
        </w:rPr>
        <w:t>遴选骨科耗材供应商评分方案</w:t>
      </w:r>
    </w:p>
    <w:p>
      <w:pPr>
        <w:spacing w:line="276" w:lineRule="auto"/>
        <w:ind w:right="-38" w:rightChars="-18"/>
        <w:jc w:val="left"/>
        <w:rPr>
          <w:rFonts w:ascii="Arial" w:hAnsi="Arial" w:cs="Arial"/>
          <w:b/>
          <w:bCs/>
          <w:kern w:val="0"/>
          <w:szCs w:val="21"/>
        </w:rPr>
      </w:pP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（一）对进入详评的，采用综合评分法。</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本项目投标报价为人民币报价，对不同文字文本投标文件的解释发生异议的，以中文文本为准。如果投标人不接受对其错误的更正，其投标将被拒绝。</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（二）计分办法（按四舍五入取至小数点后二位）</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1.价格</w:t>
      </w:r>
      <w:r>
        <w:rPr>
          <w:rFonts w:ascii="Arial" w:hAnsi="Arial" w:cs="Arial"/>
          <w:kern w:val="0"/>
          <w:szCs w:val="21"/>
        </w:rPr>
        <w:t>分…………………</w:t>
      </w:r>
      <w:r>
        <w:rPr>
          <w:rFonts w:hint="eastAsia" w:ascii="Arial" w:hAnsi="Arial" w:cs="Arial"/>
          <w:kern w:val="0"/>
          <w:szCs w:val="21"/>
        </w:rPr>
        <w:t>30</w:t>
      </w:r>
      <w:r>
        <w:rPr>
          <w:rFonts w:ascii="Arial" w:hAnsi="Arial" w:cs="Arial"/>
          <w:kern w:val="0"/>
          <w:szCs w:val="21"/>
        </w:rPr>
        <w:t>分</w:t>
      </w:r>
      <w:bookmarkStart w:id="2" w:name="_GoBack"/>
      <w:bookmarkEnd w:id="2"/>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评标基准价（A）</w:t>
      </w:r>
      <w:r>
        <w:rPr>
          <w:rFonts w:hint="eastAsia" w:ascii="Arial" w:hAnsi="Arial" w:cs="Arial"/>
          <w:kern w:val="0"/>
          <w:szCs w:val="21"/>
        </w:rPr>
        <w:t>：</w:t>
      </w:r>
      <w:r>
        <w:rPr>
          <w:rFonts w:ascii="Arial" w:hAnsi="Arial" w:cs="Arial"/>
          <w:kern w:val="0"/>
          <w:szCs w:val="21"/>
        </w:rPr>
        <w:t>集采产品执行集采价格，非集采产品执行采购单位使用的</w:t>
      </w:r>
      <w:r>
        <w:rPr>
          <w:rFonts w:hint="eastAsia" w:ascii="Arial" w:hAnsi="Arial" w:cs="Arial"/>
          <w:kern w:val="0"/>
          <w:szCs w:val="21"/>
        </w:rPr>
        <w:t>泰茂医械云管理</w:t>
      </w:r>
      <w:r>
        <w:rPr>
          <w:rFonts w:ascii="Arial" w:hAnsi="Arial" w:cs="Arial"/>
          <w:kern w:val="0"/>
          <w:szCs w:val="21"/>
        </w:rPr>
        <w:t>系统能查询到的区内最低价。</w:t>
      </w:r>
    </w:p>
    <w:p>
      <w:pPr>
        <w:spacing w:line="276" w:lineRule="auto"/>
        <w:ind w:left="141" w:leftChars="67" w:right="-38" w:rightChars="-18" w:firstLine="420" w:firstLineChars="200"/>
        <w:rPr>
          <w:rFonts w:ascii="Arial" w:hAnsi="Arial" w:cs="Arial"/>
          <w:kern w:val="0"/>
          <w:szCs w:val="21"/>
        </w:rPr>
      </w:pPr>
      <w:r>
        <w:rPr>
          <w:rFonts w:hint="eastAsia" w:ascii="Arial" w:hAnsi="Arial" w:cs="Arial"/>
          <w:kern w:val="0"/>
          <w:szCs w:val="21"/>
        </w:rPr>
        <w:t>1.1集采产品价格分（20分）：投标人提供承诺函，承诺集采产品执行集采价格的得20分，不满足不得分；</w:t>
      </w:r>
    </w:p>
    <w:p>
      <w:pPr>
        <w:spacing w:line="276" w:lineRule="auto"/>
        <w:ind w:left="141" w:leftChars="67" w:right="-38" w:rightChars="-18" w:firstLine="420" w:firstLineChars="200"/>
        <w:rPr>
          <w:rFonts w:ascii="Arial" w:hAnsi="Arial" w:cs="Arial"/>
          <w:kern w:val="0"/>
          <w:szCs w:val="21"/>
        </w:rPr>
      </w:pPr>
      <w:r>
        <w:rPr>
          <w:rFonts w:hint="eastAsia" w:ascii="Arial" w:hAnsi="Arial" w:cs="Arial"/>
          <w:kern w:val="0"/>
          <w:szCs w:val="21"/>
        </w:rPr>
        <w:t>1.2非集采产品价格分（10分）</w:t>
      </w:r>
    </w:p>
    <w:p>
      <w:pPr>
        <w:spacing w:line="276" w:lineRule="auto"/>
        <w:ind w:left="141" w:leftChars="67" w:right="-38" w:rightChars="-18" w:firstLine="420" w:firstLineChars="200"/>
        <w:rPr>
          <w:rFonts w:ascii="Arial" w:hAnsi="Arial" w:cs="Arial"/>
          <w:kern w:val="0"/>
          <w:szCs w:val="21"/>
        </w:rPr>
      </w:pPr>
      <w:r>
        <w:rPr>
          <w:rFonts w:hint="eastAsia" w:ascii="Arial" w:hAnsi="Arial" w:cs="Arial"/>
          <w:kern w:val="0"/>
          <w:szCs w:val="21"/>
        </w:rPr>
        <w:t>1.2.1投标人提供承诺函，承诺非集采产品执行采购单位使用的泰茂医械云管理系统能查询到的区内最低价的，得5分，不满足不得分。</w:t>
      </w:r>
    </w:p>
    <w:p>
      <w:pPr>
        <w:spacing w:line="276" w:lineRule="auto"/>
        <w:ind w:left="141" w:leftChars="67" w:right="-38" w:rightChars="-18" w:firstLine="420" w:firstLineChars="200"/>
        <w:rPr>
          <w:rFonts w:ascii="Arial" w:hAnsi="Arial" w:cs="Arial"/>
          <w:kern w:val="0"/>
          <w:szCs w:val="21"/>
        </w:rPr>
      </w:pPr>
      <w:r>
        <w:rPr>
          <w:rFonts w:hint="eastAsia" w:ascii="Arial" w:hAnsi="Arial" w:cs="Arial"/>
          <w:kern w:val="0"/>
          <w:szCs w:val="21"/>
        </w:rPr>
        <w:t>1.2.2各投标人对非集采产品进行下浮幅度报价；某投标人非集采产品下浮幅度与评标基准价A中非集采产品相比，下浮幅度最大的为满分5分，某投标人价格下浮得分=(1-所有有效投标报价中最高下浮幅度)/（1-某有效供应商下浮幅度）*5；</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2、对采购需求的响应程度分…………………</w:t>
      </w:r>
      <w:r>
        <w:rPr>
          <w:rFonts w:hint="eastAsia" w:ascii="Arial" w:hAnsi="Arial" w:cs="Arial"/>
          <w:kern w:val="0"/>
          <w:szCs w:val="21"/>
        </w:rPr>
        <w:t>4</w:t>
      </w:r>
      <w:r>
        <w:rPr>
          <w:rFonts w:ascii="Arial" w:hAnsi="Arial" w:cs="Arial"/>
          <w:kern w:val="0"/>
          <w:szCs w:val="21"/>
        </w:rPr>
        <w:t>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供应商根据甲方要求，对采购需求</w:t>
      </w:r>
      <w:r>
        <w:rPr>
          <w:rFonts w:hint="eastAsia" w:ascii="Arial" w:hAnsi="Arial" w:cs="Arial"/>
          <w:kern w:val="0"/>
          <w:szCs w:val="21"/>
        </w:rPr>
        <w:t>（见附件）</w:t>
      </w:r>
      <w:r>
        <w:rPr>
          <w:rFonts w:ascii="Arial" w:hAnsi="Arial" w:cs="Arial"/>
          <w:kern w:val="0"/>
          <w:szCs w:val="21"/>
        </w:rPr>
        <w:t>进行响应，完全响应无偏离的得满分</w:t>
      </w:r>
      <w:r>
        <w:rPr>
          <w:rFonts w:hint="eastAsia" w:ascii="Arial" w:hAnsi="Arial" w:cs="Arial"/>
          <w:kern w:val="0"/>
          <w:szCs w:val="21"/>
        </w:rPr>
        <w:t>4</w:t>
      </w:r>
      <w:r>
        <w:rPr>
          <w:rFonts w:ascii="Arial" w:hAnsi="Arial" w:cs="Arial"/>
          <w:kern w:val="0"/>
          <w:szCs w:val="21"/>
        </w:rPr>
        <w:t>分，每负偏离一项扣</w:t>
      </w:r>
      <w:r>
        <w:rPr>
          <w:rFonts w:hint="eastAsia" w:ascii="Arial" w:hAnsi="Arial" w:cs="Arial"/>
          <w:kern w:val="0"/>
          <w:szCs w:val="21"/>
        </w:rPr>
        <w:t>1</w:t>
      </w:r>
      <w:r>
        <w:rPr>
          <w:rFonts w:ascii="Arial" w:hAnsi="Arial" w:cs="Arial"/>
          <w:kern w:val="0"/>
          <w:szCs w:val="21"/>
        </w:rPr>
        <w:t>分，负偏离</w:t>
      </w:r>
      <w:r>
        <w:rPr>
          <w:rFonts w:hint="eastAsia" w:ascii="Arial" w:hAnsi="Arial" w:cs="Arial"/>
          <w:kern w:val="0"/>
          <w:szCs w:val="21"/>
        </w:rPr>
        <w:t>4</w:t>
      </w:r>
      <w:r>
        <w:rPr>
          <w:rFonts w:ascii="Arial" w:hAnsi="Arial" w:cs="Arial"/>
          <w:kern w:val="0"/>
          <w:szCs w:val="21"/>
        </w:rPr>
        <w:t>项及以上的得0分。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3、供应商资质及整体项目实施分…………………1</w:t>
      </w:r>
      <w:r>
        <w:rPr>
          <w:rFonts w:hint="eastAsia" w:ascii="Arial" w:hAnsi="Arial" w:cs="Arial"/>
          <w:kern w:val="0"/>
          <w:szCs w:val="21"/>
        </w:rPr>
        <w:t>2</w:t>
      </w:r>
      <w:r>
        <w:rPr>
          <w:rFonts w:ascii="Arial" w:hAnsi="Arial" w:cs="Arial"/>
          <w:kern w:val="0"/>
          <w:szCs w:val="21"/>
        </w:rPr>
        <w:t>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由评委在打分前根据招标文件要求，对比各投标人提供的“整体项目实施”内容的详尽性、科学性、合理性进行独立评标，确定“一档、二档、三档”各所属档次并形成书面材料确定等级评定档次，并详细记录各投标人差别；评委独立打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一档（</w:t>
      </w:r>
      <w:r>
        <w:rPr>
          <w:rFonts w:hint="eastAsia" w:ascii="Arial" w:hAnsi="Arial" w:cs="Arial"/>
          <w:kern w:val="0"/>
          <w:szCs w:val="21"/>
        </w:rPr>
        <w:t>4</w:t>
      </w:r>
      <w:r>
        <w:rPr>
          <w:rFonts w:ascii="Arial" w:hAnsi="Arial" w:cs="Arial"/>
          <w:kern w:val="0"/>
          <w:szCs w:val="21"/>
        </w:rPr>
        <w:t>分）：品种齐全、服务方案详尽性、科学性、可操作性、合理性一般。</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二档（</w:t>
      </w:r>
      <w:r>
        <w:rPr>
          <w:rFonts w:hint="eastAsia" w:ascii="Arial" w:hAnsi="Arial" w:cs="Arial"/>
          <w:kern w:val="0"/>
          <w:szCs w:val="21"/>
        </w:rPr>
        <w:t>8</w:t>
      </w:r>
      <w:r>
        <w:rPr>
          <w:rFonts w:ascii="Arial" w:hAnsi="Arial" w:cs="Arial"/>
          <w:kern w:val="0"/>
          <w:szCs w:val="21"/>
        </w:rPr>
        <w:t>分）：品种齐全、服务方案详尽性、科学性、可操作性、合理性较好。</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三档（1</w:t>
      </w:r>
      <w:r>
        <w:rPr>
          <w:rFonts w:hint="eastAsia" w:ascii="Arial" w:hAnsi="Arial" w:cs="Arial"/>
          <w:kern w:val="0"/>
          <w:szCs w:val="21"/>
        </w:rPr>
        <w:t>2</w:t>
      </w:r>
      <w:r>
        <w:rPr>
          <w:rFonts w:ascii="Arial" w:hAnsi="Arial" w:cs="Arial"/>
          <w:kern w:val="0"/>
          <w:szCs w:val="21"/>
        </w:rPr>
        <w:t>分）：品种齐全、服务方案详尽性、科学性、可操作性、合理性优良。</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未提供供应商资质及整体项目实施的得0分。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4、供应商配送能力及突发需求业务处置能力分……1</w:t>
      </w:r>
      <w:r>
        <w:rPr>
          <w:rFonts w:hint="eastAsia" w:ascii="Arial" w:hAnsi="Arial" w:cs="Arial"/>
          <w:kern w:val="0"/>
          <w:szCs w:val="21"/>
        </w:rPr>
        <w:t>2</w:t>
      </w:r>
      <w:r>
        <w:rPr>
          <w:rFonts w:ascii="Arial" w:hAnsi="Arial" w:cs="Arial"/>
          <w:kern w:val="0"/>
          <w:szCs w:val="21"/>
        </w:rPr>
        <w:t>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供应商配送能力及突发需求业务处置能力分，评委根据各投标人提供的“供应商为此项目配备工作人员数、展现其配送能力及突发需求业务处置能力、项目管理方案等”内容的完整性、针对性、 合理性三个方面进行，评委独立打分。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一档（</w:t>
      </w:r>
      <w:r>
        <w:rPr>
          <w:rFonts w:hint="eastAsia" w:ascii="Arial" w:hAnsi="Arial" w:cs="Arial"/>
          <w:kern w:val="0"/>
          <w:szCs w:val="21"/>
        </w:rPr>
        <w:t>3</w:t>
      </w:r>
      <w:r>
        <w:rPr>
          <w:rFonts w:ascii="Arial" w:hAnsi="Arial" w:cs="Arial"/>
          <w:kern w:val="0"/>
          <w:szCs w:val="21"/>
        </w:rPr>
        <w:t>分）：完整性、针对性、合理性均评定为良好的；</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二档（</w:t>
      </w:r>
      <w:r>
        <w:rPr>
          <w:rFonts w:hint="eastAsia" w:ascii="Arial" w:hAnsi="Arial" w:cs="Arial"/>
          <w:kern w:val="0"/>
          <w:szCs w:val="21"/>
        </w:rPr>
        <w:t>6</w:t>
      </w:r>
      <w:r>
        <w:rPr>
          <w:rFonts w:ascii="Arial" w:hAnsi="Arial" w:cs="Arial"/>
          <w:kern w:val="0"/>
          <w:szCs w:val="21"/>
        </w:rPr>
        <w:t>分）：完整性、针对性、合理性有1项评定为优秀的；</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三档（</w:t>
      </w:r>
      <w:r>
        <w:rPr>
          <w:rFonts w:hint="eastAsia" w:ascii="Arial" w:hAnsi="Arial" w:cs="Arial"/>
          <w:kern w:val="0"/>
          <w:szCs w:val="21"/>
        </w:rPr>
        <w:t>9</w:t>
      </w:r>
      <w:r>
        <w:rPr>
          <w:rFonts w:ascii="Arial" w:hAnsi="Arial" w:cs="Arial"/>
          <w:kern w:val="0"/>
          <w:szCs w:val="21"/>
        </w:rPr>
        <w:t>分）：完整性、针对性、合理性有2项评定为优秀的；</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四档（</w:t>
      </w:r>
      <w:r>
        <w:rPr>
          <w:rFonts w:hint="eastAsia" w:ascii="Arial" w:hAnsi="Arial" w:cs="Arial"/>
          <w:kern w:val="0"/>
          <w:szCs w:val="21"/>
        </w:rPr>
        <w:t>12</w:t>
      </w:r>
      <w:r>
        <w:rPr>
          <w:rFonts w:ascii="Arial" w:hAnsi="Arial" w:cs="Arial"/>
          <w:kern w:val="0"/>
          <w:szCs w:val="21"/>
        </w:rPr>
        <w:t>分）：完整性、针对性、合理性均评定为优秀并能够提供人员驻点服务的。</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未提供供应商配送能力及突发需求业务处置能力的得0分。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5、售后服务分………………………………1</w:t>
      </w:r>
      <w:r>
        <w:rPr>
          <w:rFonts w:hint="eastAsia" w:ascii="Arial" w:hAnsi="Arial" w:cs="Arial"/>
          <w:kern w:val="0"/>
          <w:szCs w:val="21"/>
        </w:rPr>
        <w:t>2</w:t>
      </w:r>
      <w:r>
        <w:rPr>
          <w:rFonts w:ascii="Arial" w:hAnsi="Arial" w:cs="Arial"/>
          <w:kern w:val="0"/>
          <w:szCs w:val="21"/>
        </w:rPr>
        <w:t>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评委对投标人的投标文件中售后服务承诺书内容的完整性、可行性、免费技术培训方案、完善的供货渠道及售后服务体系、其他优惠措施、安装要求等内容的科学性、针对性、合理性三个方面进行，评委独立打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一档（</w:t>
      </w:r>
      <w:r>
        <w:rPr>
          <w:rFonts w:hint="eastAsia" w:ascii="Arial" w:hAnsi="Arial" w:cs="Arial"/>
          <w:kern w:val="0"/>
          <w:szCs w:val="21"/>
        </w:rPr>
        <w:t>4</w:t>
      </w:r>
      <w:r>
        <w:rPr>
          <w:rFonts w:ascii="Arial" w:hAnsi="Arial" w:cs="Arial"/>
          <w:kern w:val="0"/>
          <w:szCs w:val="21"/>
        </w:rPr>
        <w:t>分）：科学性、针对性、合理性均评定为一般的；</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二档（</w:t>
      </w:r>
      <w:r>
        <w:rPr>
          <w:rFonts w:hint="eastAsia" w:ascii="Arial" w:hAnsi="Arial" w:cs="Arial"/>
          <w:kern w:val="0"/>
          <w:szCs w:val="21"/>
        </w:rPr>
        <w:t>8</w:t>
      </w:r>
      <w:r>
        <w:rPr>
          <w:rFonts w:ascii="Arial" w:hAnsi="Arial" w:cs="Arial"/>
          <w:kern w:val="0"/>
          <w:szCs w:val="21"/>
        </w:rPr>
        <w:t>分）：科学性、针对性、合理性均评定为良好的；</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三档（1</w:t>
      </w:r>
      <w:r>
        <w:rPr>
          <w:rFonts w:hint="eastAsia" w:ascii="Arial" w:hAnsi="Arial" w:cs="Arial"/>
          <w:kern w:val="0"/>
          <w:szCs w:val="21"/>
        </w:rPr>
        <w:t>2</w:t>
      </w:r>
      <w:r>
        <w:rPr>
          <w:rFonts w:ascii="Arial" w:hAnsi="Arial" w:cs="Arial"/>
          <w:kern w:val="0"/>
          <w:szCs w:val="21"/>
        </w:rPr>
        <w:t>分）：科学性、针对性、合理性均评定为优秀的。</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未提供售后服务的得0分。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6、综合实力分………………………3</w:t>
      </w:r>
      <w:r>
        <w:rPr>
          <w:rFonts w:hint="eastAsia" w:ascii="Arial" w:hAnsi="Arial" w:cs="Arial"/>
          <w:kern w:val="0"/>
          <w:szCs w:val="21"/>
        </w:rPr>
        <w:t>0</w:t>
      </w:r>
      <w:r>
        <w:rPr>
          <w:rFonts w:ascii="Arial" w:hAnsi="Arial" w:cs="Arial"/>
          <w:kern w:val="0"/>
          <w:szCs w:val="21"/>
        </w:rPr>
        <w:t>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（1）投标人在医院有配送医用耗材业绩的（提供相关合同或供货发票复印件加盖公章），每提供1个业绩得4分，满分16分。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2）配送车辆配备分：投标人拟投入本项目的配送车辆【（车辆产权为投标人自有的，于投标文件中提供车辆登记证书或行驶证复印件，非自有车辆需提供租赁合同等有效证明文件并加盖公章）】；每提供1辆的得4分，满分4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（3）每提供一项产品原厂授权的</w:t>
      </w:r>
      <w:r>
        <w:rPr>
          <w:rFonts w:hint="eastAsia" w:ascii="Arial" w:hAnsi="Arial" w:cs="Arial"/>
          <w:kern w:val="0"/>
          <w:szCs w:val="21"/>
        </w:rPr>
        <w:t>得</w:t>
      </w:r>
      <w:r>
        <w:rPr>
          <w:rFonts w:ascii="Arial" w:hAnsi="Arial" w:cs="Arial"/>
          <w:kern w:val="0"/>
          <w:szCs w:val="21"/>
        </w:rPr>
        <w:t>1分，最多</w:t>
      </w:r>
      <w:r>
        <w:rPr>
          <w:rFonts w:hint="eastAsia" w:ascii="Arial" w:hAnsi="Arial" w:cs="Arial"/>
          <w:kern w:val="0"/>
          <w:szCs w:val="21"/>
        </w:rPr>
        <w:t>得</w:t>
      </w:r>
      <w:r>
        <w:rPr>
          <w:rFonts w:ascii="Arial" w:hAnsi="Arial" w:cs="Arial"/>
          <w:kern w:val="0"/>
          <w:szCs w:val="21"/>
        </w:rPr>
        <w:t>10分。提供产品原厂授权书加盖供应商公章，否则不得分。</w:t>
      </w: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t>7.最终综合得分＝1+2+3+4+5+6</w:t>
      </w:r>
    </w:p>
    <w:p>
      <w:pPr>
        <w:spacing w:line="276" w:lineRule="auto"/>
        <w:ind w:left="141" w:leftChars="67" w:right="-38" w:rightChars="-18" w:firstLine="420" w:firstLineChars="200"/>
        <w:rPr>
          <w:rFonts w:ascii="Arial" w:hAnsi="Arial" w:cs="Arial"/>
          <w:kern w:val="0"/>
          <w:szCs w:val="21"/>
        </w:rPr>
      </w:pPr>
    </w:p>
    <w:p>
      <w:pPr>
        <w:spacing w:line="276" w:lineRule="auto"/>
        <w:ind w:left="141" w:leftChars="67" w:right="-38" w:rightChars="-18" w:firstLine="420" w:firstLineChars="200"/>
        <w:rPr>
          <w:rFonts w:ascii="Arial" w:hAnsi="Arial" w:cs="Arial"/>
          <w:kern w:val="0"/>
          <w:szCs w:val="21"/>
        </w:rPr>
      </w:pPr>
    </w:p>
    <w:p>
      <w:pPr>
        <w:spacing w:line="276" w:lineRule="auto"/>
        <w:ind w:left="141" w:leftChars="67" w:right="-38" w:rightChars="-18" w:firstLine="420" w:firstLineChars="200"/>
        <w:rPr>
          <w:rFonts w:ascii="Arial" w:hAnsi="Arial" w:cs="Arial"/>
          <w:kern w:val="0"/>
          <w:szCs w:val="21"/>
        </w:rPr>
      </w:pPr>
      <w:r>
        <w:rPr>
          <w:rFonts w:ascii="Arial" w:hAnsi="Arial" w:cs="Arial"/>
          <w:kern w:val="0"/>
          <w:szCs w:val="21"/>
        </w:rPr>
        <w:br w:type="page"/>
      </w:r>
    </w:p>
    <w:p>
      <w:pPr>
        <w:pStyle w:val="3"/>
        <w:widowControl/>
        <w:rPr>
          <w:rFonts w:hint="default" w:ascii="Arial" w:hAnsi="Arial" w:cs="Arial"/>
        </w:rPr>
      </w:pPr>
      <w:bookmarkStart w:id="0" w:name="_Toc48054971"/>
      <w:bookmarkStart w:id="1" w:name="_Toc31553"/>
      <w:r>
        <w:rPr>
          <w:rFonts w:ascii="Arial" w:hAnsi="Arial" w:cs="Arial"/>
        </w:rPr>
        <w:t>附件：采购需求</w:t>
      </w:r>
      <w:bookmarkEnd w:id="0"/>
      <w:bookmarkEnd w:id="1"/>
    </w:p>
    <w:p>
      <w:pPr>
        <w:spacing w:line="360" w:lineRule="auto"/>
        <w:ind w:firstLine="420" w:firstLineChars="200"/>
        <w:rPr>
          <w:rFonts w:ascii="Arial" w:hAnsi="Arial" w:cs="Arial"/>
          <w:szCs w:val="21"/>
          <w:lang w:bidi="ar"/>
        </w:rPr>
      </w:pPr>
    </w:p>
    <w:p>
      <w:pPr>
        <w:spacing w:line="360" w:lineRule="auto"/>
        <w:ind w:firstLine="420" w:firstLineChars="200"/>
        <w:rPr>
          <w:rFonts w:ascii="Arial" w:hAnsi="Arial" w:cs="Arial"/>
          <w:szCs w:val="21"/>
          <w:lang w:bidi="ar"/>
        </w:rPr>
      </w:pPr>
      <w:r>
        <w:rPr>
          <w:rFonts w:ascii="Arial" w:hAnsi="Arial" w:cs="Arial"/>
          <w:szCs w:val="21"/>
          <w:lang w:bidi="ar"/>
        </w:rPr>
        <w:t>1</w:t>
      </w:r>
      <w:r>
        <w:rPr>
          <w:rFonts w:hint="eastAsia" w:ascii="Arial" w:hAnsi="Arial" w:cs="Arial"/>
          <w:szCs w:val="21"/>
          <w:lang w:bidi="ar"/>
        </w:rPr>
        <w:t>、投标公司必须按照《医疗器械监督管理条例》等标准要求，提供符合国家、省、市食品药品监督管理局要求的公司资质材料及所供产品的生产企业资质材料。包括但不限于：《企业法人营业执照》、《医疗器械生产/经营许可证》、《产品注册证（备案证）》、《产品合格证》、质量保证书、一次性使用产品的同批次检验报告、销售人员的授权委托书及身份证复印件等（复印件需加盖公章）。</w:t>
      </w:r>
    </w:p>
    <w:p>
      <w:pPr>
        <w:spacing w:line="360" w:lineRule="auto"/>
        <w:ind w:firstLine="420" w:firstLineChars="200"/>
        <w:rPr>
          <w:rFonts w:ascii="Arial" w:hAnsi="Arial" w:cs="Arial"/>
          <w:szCs w:val="21"/>
          <w:lang w:bidi="ar"/>
        </w:rPr>
      </w:pPr>
      <w:r>
        <w:rPr>
          <w:rFonts w:ascii="Arial" w:hAnsi="Arial" w:cs="Arial"/>
          <w:szCs w:val="21"/>
          <w:lang w:bidi="ar"/>
        </w:rPr>
        <w:t>2</w:t>
      </w:r>
      <w:r>
        <w:rPr>
          <w:rFonts w:hint="eastAsia" w:ascii="Arial" w:hAnsi="Arial" w:cs="Arial"/>
          <w:szCs w:val="21"/>
          <w:lang w:bidi="ar"/>
        </w:rPr>
        <w:t>、投标公司供应的产品质量完全符合国家食品药品监督管理局规定的标准，保证供应产品证照齐全、质量好、性价比合理、售后有保障。并承诺坚决杜绝“证照不全、假冒、伪劣、过期、近效、失效、淘汰或不合格的产品”出售给医院，否则自行承担由此造成的一切后果。</w:t>
      </w:r>
    </w:p>
    <w:p>
      <w:pPr>
        <w:spacing w:line="360" w:lineRule="auto"/>
        <w:ind w:firstLine="420" w:firstLineChars="200"/>
        <w:rPr>
          <w:rFonts w:ascii="Arial" w:hAnsi="Arial" w:cs="Arial"/>
          <w:szCs w:val="21"/>
          <w:lang w:bidi="ar"/>
        </w:rPr>
      </w:pPr>
      <w:r>
        <w:rPr>
          <w:rFonts w:ascii="Arial" w:hAnsi="Arial" w:cs="Arial"/>
          <w:szCs w:val="21"/>
          <w:lang w:bidi="ar"/>
        </w:rPr>
        <w:t>3</w:t>
      </w:r>
      <w:r>
        <w:rPr>
          <w:rFonts w:hint="eastAsia" w:ascii="Arial" w:hAnsi="Arial" w:cs="Arial"/>
          <w:szCs w:val="21"/>
          <w:lang w:bidi="ar"/>
        </w:rPr>
        <w:t>、供应的医用耗材、试剂名称、规格、数量必须与医院的要求相一致。医用耗材、试剂的最终选择及使用由医院决定。投标公司供应的医用耗材、试剂有效期应在失效期前1年及以上。医院库存中如出现临近效期医用耗材、试剂，提前两个月通知投标公司，投标公司应协助更换效期更长的产品。</w:t>
      </w:r>
    </w:p>
    <w:p>
      <w:pPr>
        <w:spacing w:line="360" w:lineRule="auto"/>
        <w:ind w:firstLine="420" w:firstLineChars="200"/>
        <w:rPr>
          <w:rFonts w:ascii="Arial" w:hAnsi="Arial" w:cs="Arial"/>
          <w:szCs w:val="21"/>
          <w:lang w:bidi="ar"/>
        </w:rPr>
      </w:pPr>
      <w:r>
        <w:rPr>
          <w:rFonts w:ascii="Arial" w:hAnsi="Arial" w:cs="Arial"/>
          <w:szCs w:val="21"/>
          <w:lang w:bidi="ar"/>
        </w:rPr>
        <w:t>4</w:t>
      </w:r>
      <w:r>
        <w:rPr>
          <w:rFonts w:hint="eastAsia" w:ascii="Arial" w:hAnsi="Arial" w:cs="Arial"/>
          <w:szCs w:val="21"/>
          <w:lang w:bidi="ar"/>
        </w:rPr>
        <w:t>、供货期限，接到医院设备科的采购订单后，须在医院指定时间内，按计划送货到医院，一般产品48小时内送达。做到货、票、《合格证》、该批次产品的检验报告同行（出库单据上应明确载示：品名、型号、批号、效期、生产企业、批准文号等，利于医院验收登记）。投标公司应配合医院管理人员核对实物与采购计划、票据是否相符，有问题的及时调整或换货。</w:t>
      </w:r>
    </w:p>
    <w:p>
      <w:pPr>
        <w:spacing w:line="360" w:lineRule="auto"/>
        <w:ind w:firstLine="420" w:firstLineChars="200"/>
        <w:rPr>
          <w:rFonts w:ascii="Arial" w:hAnsi="Arial" w:cs="Arial"/>
          <w:szCs w:val="21"/>
          <w:lang w:bidi="ar"/>
        </w:rPr>
      </w:pPr>
      <w:r>
        <w:rPr>
          <w:rFonts w:ascii="Arial" w:hAnsi="Arial" w:cs="Arial"/>
          <w:szCs w:val="21"/>
          <w:lang w:bidi="ar"/>
        </w:rPr>
        <w:t>5</w:t>
      </w:r>
      <w:r>
        <w:rPr>
          <w:rFonts w:hint="eastAsia" w:ascii="Arial" w:hAnsi="Arial" w:cs="Arial"/>
          <w:szCs w:val="21"/>
          <w:lang w:bidi="ar"/>
        </w:rPr>
        <w:t>、供应的产品包装必须符合国家有关规定和产品运输要求，到达甲方的产品、包装缺失或破损的，乙方负责补充或调换，甲方不再支付乙方任何费用。</w:t>
      </w:r>
    </w:p>
    <w:p>
      <w:pPr>
        <w:spacing w:line="360" w:lineRule="auto"/>
        <w:ind w:firstLine="420" w:firstLineChars="200"/>
        <w:rPr>
          <w:rFonts w:ascii="Arial" w:hAnsi="Arial" w:cs="Arial"/>
          <w:szCs w:val="21"/>
          <w:lang w:bidi="ar"/>
        </w:rPr>
      </w:pPr>
      <w:r>
        <w:rPr>
          <w:rFonts w:hint="eastAsia" w:ascii="Arial" w:hAnsi="Arial" w:cs="Arial"/>
          <w:szCs w:val="21"/>
          <w:lang w:bidi="ar"/>
        </w:rPr>
        <w:t>6、本次定点采购及服务有效期贰年（以合同签订为准）。</w:t>
      </w:r>
    </w:p>
    <w:p>
      <w:pPr>
        <w:spacing w:line="360" w:lineRule="auto"/>
        <w:ind w:firstLine="422" w:firstLineChars="200"/>
        <w:rPr>
          <w:b/>
        </w:rPr>
      </w:pPr>
      <w:r>
        <w:rPr>
          <w:rFonts w:hint="eastAsia" w:ascii="Arial" w:hAnsi="Arial" w:cs="Arial"/>
          <w:b/>
          <w:szCs w:val="21"/>
          <w:lang w:bidi="ar"/>
        </w:rPr>
        <w:t>7、投标人在投标文件中承诺所投产品为广西壮族自治区医用耗材集中采购系统挂网产品（中标号）或陕西联盟医用耗材（特殊情况除外），格式自拟。</w:t>
      </w:r>
    </w:p>
    <w:p>
      <w:pPr>
        <w:spacing w:line="276" w:lineRule="auto"/>
        <w:ind w:left="141" w:leftChars="67" w:right="-38" w:rightChars="-18" w:firstLine="420" w:firstLineChars="200"/>
        <w:rPr>
          <w:rFonts w:ascii="Arial" w:hAnsi="Arial" w:cs="Arial"/>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OTY4YTM4MjM5MmIxYzc1ZDgzZTQwNDcwYjdlNTkifQ=="/>
  </w:docVars>
  <w:rsids>
    <w:rsidRoot w:val="00B20B7B"/>
    <w:rsid w:val="000156EB"/>
    <w:rsid w:val="00076B68"/>
    <w:rsid w:val="001C572D"/>
    <w:rsid w:val="0032362E"/>
    <w:rsid w:val="00600952"/>
    <w:rsid w:val="0086087F"/>
    <w:rsid w:val="0093776D"/>
    <w:rsid w:val="00B142E5"/>
    <w:rsid w:val="00B20B7B"/>
    <w:rsid w:val="03060F81"/>
    <w:rsid w:val="05245A02"/>
    <w:rsid w:val="07FC7C30"/>
    <w:rsid w:val="0A3F4B5A"/>
    <w:rsid w:val="0B7078E0"/>
    <w:rsid w:val="0DB83D3F"/>
    <w:rsid w:val="0ECA1806"/>
    <w:rsid w:val="0F81030D"/>
    <w:rsid w:val="126F6D92"/>
    <w:rsid w:val="13452E6A"/>
    <w:rsid w:val="176A6FE5"/>
    <w:rsid w:val="1C050985"/>
    <w:rsid w:val="1C872925"/>
    <w:rsid w:val="1D046335"/>
    <w:rsid w:val="1DA86491"/>
    <w:rsid w:val="1EDB12AF"/>
    <w:rsid w:val="21FA5CFD"/>
    <w:rsid w:val="288B4E7D"/>
    <w:rsid w:val="2BE14D3E"/>
    <w:rsid w:val="2DA21723"/>
    <w:rsid w:val="2EEC73E6"/>
    <w:rsid w:val="35F73772"/>
    <w:rsid w:val="35F90BEA"/>
    <w:rsid w:val="395A3ABD"/>
    <w:rsid w:val="3AE56BD0"/>
    <w:rsid w:val="3B4756B8"/>
    <w:rsid w:val="3D4071EC"/>
    <w:rsid w:val="40273F3D"/>
    <w:rsid w:val="41625723"/>
    <w:rsid w:val="4407632C"/>
    <w:rsid w:val="440B65FC"/>
    <w:rsid w:val="44316D0F"/>
    <w:rsid w:val="444924A1"/>
    <w:rsid w:val="451F76A5"/>
    <w:rsid w:val="45AA1B8E"/>
    <w:rsid w:val="467B5730"/>
    <w:rsid w:val="48E96000"/>
    <w:rsid w:val="4BB24DCF"/>
    <w:rsid w:val="4BF4613D"/>
    <w:rsid w:val="4FE15C83"/>
    <w:rsid w:val="5520724E"/>
    <w:rsid w:val="563E207C"/>
    <w:rsid w:val="59747253"/>
    <w:rsid w:val="5B501F0F"/>
    <w:rsid w:val="5E9510CF"/>
    <w:rsid w:val="5FE1243E"/>
    <w:rsid w:val="61077514"/>
    <w:rsid w:val="638210D3"/>
    <w:rsid w:val="64395C36"/>
    <w:rsid w:val="656D441E"/>
    <w:rsid w:val="65B57DA3"/>
    <w:rsid w:val="65CE4883"/>
    <w:rsid w:val="66E520A5"/>
    <w:rsid w:val="685F3791"/>
    <w:rsid w:val="689F6284"/>
    <w:rsid w:val="6FE46D44"/>
    <w:rsid w:val="71852515"/>
    <w:rsid w:val="77BC650A"/>
    <w:rsid w:val="799D236B"/>
    <w:rsid w:val="7E482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6"/>
    <w:autoRedefine/>
    <w:qFormat/>
    <w:uiPriority w:val="0"/>
    <w:pPr>
      <w:spacing w:after="120"/>
    </w:pPr>
  </w:style>
  <w:style w:type="paragraph" w:styleId="3">
    <w:name w:val="Title"/>
    <w:basedOn w:val="1"/>
    <w:next w:val="1"/>
    <w:link w:val="7"/>
    <w:qFormat/>
    <w:uiPriority w:val="0"/>
    <w:pPr>
      <w:spacing w:before="240" w:after="60"/>
      <w:jc w:val="center"/>
      <w:outlineLvl w:val="0"/>
    </w:pPr>
    <w:rPr>
      <w:rFonts w:hint="eastAsia" w:ascii="等线 Light" w:hAnsi="等线 Light"/>
      <w:b/>
      <w:bCs/>
      <w:sz w:val="32"/>
      <w:szCs w:val="32"/>
    </w:rPr>
  </w:style>
  <w:style w:type="character" w:customStyle="1" w:styleId="6">
    <w:name w:val="正文文本 Char"/>
    <w:basedOn w:val="5"/>
    <w:link w:val="2"/>
    <w:autoRedefine/>
    <w:qFormat/>
    <w:uiPriority w:val="0"/>
    <w:rPr>
      <w:kern w:val="2"/>
      <w:sz w:val="21"/>
      <w:szCs w:val="24"/>
    </w:rPr>
  </w:style>
  <w:style w:type="character" w:customStyle="1" w:styleId="7">
    <w:name w:val="标题 Char"/>
    <w:basedOn w:val="5"/>
    <w:link w:val="3"/>
    <w:uiPriority w:val="0"/>
    <w:rPr>
      <w:rFonts w:hint="eastAsia" w:ascii="等线 Light" w:hAnsi="等线 Light" w:eastAsia="等线 Light" w:cs="等线 Light"/>
      <w:b/>
      <w:bCs/>
      <w:kern w:val="2"/>
      <w:sz w:val="32"/>
      <w:szCs w:val="32"/>
    </w:rPr>
  </w:style>
  <w:style w:type="paragraph" w:styleId="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344</Words>
  <Characters>1966</Characters>
  <Lines>16</Lines>
  <Paragraphs>4</Paragraphs>
  <TotalTime>15</TotalTime>
  <ScaleCrop>false</ScaleCrop>
  <LinksUpToDate>false</LinksUpToDate>
  <CharactersWithSpaces>2306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2024-05-16T11:53:00Z</dcterms:created>
  <dc:creator>Administrator</dc:creator>
  <cp:lastModifiedBy>蒋文华</cp:lastModifiedBy>
  <dcterms:modified xsi:type="dcterms:W3CDTF">2024-05-17T01:04:40Z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5A54F3008116439885F7365986320E15_13</vt:lpwstr>
  </property>
</Properties>
</file>