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center"/>
        <w:rPr>
          <w:rFonts w:hint="eastAsia" w:ascii="微软雅黑" w:hAnsi="微软雅黑" w:eastAsia="微软雅黑" w:cs="微软雅黑"/>
          <w:b/>
          <w:bCs/>
          <w:i w:val="0"/>
          <w:iCs w:val="0"/>
          <w:caps w:val="0"/>
          <w:color w:val="404040"/>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404040"/>
          <w:spacing w:val="0"/>
          <w:kern w:val="0"/>
          <w:sz w:val="24"/>
          <w:szCs w:val="24"/>
          <w:shd w:val="clear" w:fill="FFFFFF"/>
          <w:lang w:val="en-US" w:eastAsia="zh-CN" w:bidi="ar"/>
        </w:rPr>
        <w:t>麻醉临床信息系统维保服务采购需求</w:t>
      </w:r>
    </w:p>
    <w:p>
      <w:pPr>
        <w:ind w:firstLine="560" w:firstLineChars="200"/>
        <w:rPr>
          <w:sz w:val="28"/>
          <w:szCs w:val="28"/>
        </w:rPr>
      </w:pPr>
      <w:r>
        <w:rPr>
          <w:rFonts w:hint="eastAsia"/>
          <w:sz w:val="28"/>
          <w:szCs w:val="28"/>
        </w:rPr>
        <w:t>为了保障</w:t>
      </w:r>
      <w:r>
        <w:rPr>
          <w:rFonts w:hint="eastAsia"/>
          <w:sz w:val="28"/>
          <w:szCs w:val="28"/>
          <w:lang w:val="en-US" w:eastAsia="zh-CN"/>
        </w:rPr>
        <w:t>广西壮族自治区南溪山医院（广西壮族自治区第二人民医院）麻醉临床信息系统</w:t>
      </w:r>
      <w:r>
        <w:rPr>
          <w:rFonts w:hint="eastAsia"/>
          <w:b/>
          <w:bCs/>
          <w:sz w:val="28"/>
          <w:szCs w:val="28"/>
          <w:lang w:eastAsia="zh-CN"/>
        </w:rPr>
        <w:t>（</w:t>
      </w:r>
      <w:r>
        <w:rPr>
          <w:rFonts w:hint="eastAsia"/>
          <w:b/>
          <w:bCs/>
          <w:sz w:val="28"/>
          <w:szCs w:val="28"/>
          <w:lang w:val="en-US" w:eastAsia="zh-CN"/>
        </w:rPr>
        <w:t>麦迪斯顿的麻醉临床信息系统</w:t>
      </w:r>
      <w:r>
        <w:rPr>
          <w:rFonts w:hint="eastAsia"/>
          <w:b/>
          <w:bCs/>
          <w:sz w:val="28"/>
          <w:szCs w:val="28"/>
        </w:rPr>
        <w:t>系统</w:t>
      </w:r>
      <w:r>
        <w:rPr>
          <w:rFonts w:hint="eastAsia"/>
          <w:b/>
          <w:bCs/>
          <w:sz w:val="28"/>
          <w:szCs w:val="28"/>
          <w:lang w:eastAsia="zh-CN"/>
        </w:rPr>
        <w:t>）</w:t>
      </w:r>
      <w:r>
        <w:rPr>
          <w:rFonts w:hint="eastAsia"/>
          <w:sz w:val="28"/>
          <w:szCs w:val="28"/>
        </w:rPr>
        <w:t>正常运转，及时发现和处理日常问题，做好节假日和重大活动服务保障，为</w:t>
      </w:r>
      <w:r>
        <w:rPr>
          <w:rFonts w:hint="eastAsia"/>
          <w:sz w:val="28"/>
          <w:szCs w:val="28"/>
          <w:lang w:val="en-US" w:eastAsia="zh-CN"/>
        </w:rPr>
        <w:t>临床和</w:t>
      </w:r>
      <w:r>
        <w:rPr>
          <w:rFonts w:hint="eastAsia"/>
          <w:sz w:val="28"/>
          <w:szCs w:val="28"/>
        </w:rPr>
        <w:t>群众提供优质便捷服务。根据对</w:t>
      </w:r>
      <w:r>
        <w:rPr>
          <w:rFonts w:hint="eastAsia"/>
          <w:sz w:val="28"/>
          <w:szCs w:val="28"/>
          <w:lang w:val="en-US" w:eastAsia="zh-CN"/>
        </w:rPr>
        <w:t>本院麻醉临床信息系统</w:t>
      </w:r>
      <w:r>
        <w:rPr>
          <w:rFonts w:hint="eastAsia"/>
          <w:sz w:val="28"/>
          <w:szCs w:val="28"/>
        </w:rPr>
        <w:t>进行合理需求分析，运维内容主要为软件及信息资源维护和其他内容与服务。</w:t>
      </w:r>
      <w:bookmarkStart w:id="0" w:name="_GoBack"/>
      <w:bookmarkEnd w:id="0"/>
    </w:p>
    <w:p>
      <w:pPr>
        <w:spacing w:line="480" w:lineRule="exact"/>
        <w:rPr>
          <w:rFonts w:ascii="仿宋" w:hAnsi="仿宋" w:eastAsia="仿宋"/>
          <w:b/>
          <w:color w:val="000000"/>
          <w:sz w:val="24"/>
          <w:szCs w:val="24"/>
        </w:rPr>
      </w:pPr>
      <w:r>
        <w:rPr>
          <w:rFonts w:hint="eastAsia" w:ascii="仿宋" w:hAnsi="仿宋" w:eastAsia="仿宋"/>
          <w:b/>
          <w:color w:val="000000"/>
          <w:sz w:val="24"/>
          <w:szCs w:val="24"/>
        </w:rPr>
        <w:t>一</w:t>
      </w:r>
      <w:r>
        <w:rPr>
          <w:rFonts w:ascii="仿宋" w:hAnsi="仿宋" w:eastAsia="仿宋"/>
          <w:b/>
          <w:color w:val="000000"/>
          <w:sz w:val="24"/>
          <w:szCs w:val="24"/>
        </w:rPr>
        <w:t>、</w:t>
      </w:r>
      <w:r>
        <w:rPr>
          <w:rFonts w:hint="eastAsia" w:ascii="仿宋" w:hAnsi="仿宋" w:eastAsia="仿宋"/>
          <w:b/>
          <w:color w:val="000000"/>
          <w:sz w:val="24"/>
          <w:szCs w:val="24"/>
        </w:rPr>
        <w:t>采购</w:t>
      </w:r>
      <w:r>
        <w:rPr>
          <w:rFonts w:ascii="仿宋" w:hAnsi="仿宋" w:eastAsia="仿宋"/>
          <w:b/>
          <w:color w:val="000000"/>
          <w:sz w:val="24"/>
          <w:szCs w:val="24"/>
        </w:rPr>
        <w:t>标的清单</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0"/>
        <w:gridCol w:w="3846"/>
        <w:gridCol w:w="3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2" w:hRule="atLeast"/>
          <w:jc w:val="center"/>
        </w:trPr>
        <w:tc>
          <w:tcPr>
            <w:tcW w:w="1290" w:type="dxa"/>
            <w:noWrap w:val="0"/>
            <w:vAlign w:val="center"/>
          </w:tcPr>
          <w:p>
            <w:pPr>
              <w:widowControl/>
              <w:shd w:val="clear" w:color="auto" w:fill="FFFFFF"/>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3846" w:type="dxa"/>
            <w:noWrap w:val="0"/>
            <w:vAlign w:val="center"/>
          </w:tcPr>
          <w:p>
            <w:pPr>
              <w:widowControl/>
              <w:shd w:val="clear" w:color="auto" w:fill="FFFFFF"/>
              <w:spacing w:line="360" w:lineRule="auto"/>
              <w:ind w:firstLine="480"/>
              <w:jc w:val="left"/>
              <w:rPr>
                <w:rFonts w:hint="eastAsia" w:ascii="仿宋" w:hAnsi="仿宋" w:eastAsia="仿宋" w:cs="Times New Roman"/>
                <w:sz w:val="24"/>
                <w:szCs w:val="24"/>
              </w:rPr>
            </w:pPr>
            <w:r>
              <w:rPr>
                <w:rFonts w:hint="eastAsia" w:ascii="仿宋" w:hAnsi="仿宋" w:eastAsia="仿宋" w:cs="Times New Roman"/>
                <w:sz w:val="24"/>
                <w:szCs w:val="24"/>
              </w:rPr>
              <w:t>采购标的</w:t>
            </w:r>
          </w:p>
        </w:tc>
        <w:tc>
          <w:tcPr>
            <w:tcW w:w="3643" w:type="dxa"/>
            <w:noWrap w:val="0"/>
            <w:vAlign w:val="center"/>
          </w:tcPr>
          <w:p>
            <w:pPr>
              <w:widowControl/>
              <w:shd w:val="clear" w:color="auto" w:fill="FFFFFF"/>
              <w:spacing w:line="360" w:lineRule="auto"/>
              <w:jc w:val="left"/>
              <w:rPr>
                <w:rFonts w:hint="eastAsia" w:ascii="仿宋" w:hAnsi="仿宋" w:eastAsia="仿宋" w:cs="Times New Roman"/>
                <w:sz w:val="24"/>
                <w:szCs w:val="24"/>
              </w:rPr>
            </w:pPr>
            <w:r>
              <w:rPr>
                <w:rFonts w:hint="eastAsia" w:ascii="仿宋" w:hAnsi="仿宋" w:eastAsia="仿宋" w:cs="Times New Roman"/>
                <w:sz w:val="24"/>
                <w:szCs w:val="24"/>
              </w:rPr>
              <w:t>对应中小企业划分标准所属行业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7" w:hRule="atLeast"/>
          <w:jc w:val="center"/>
        </w:trPr>
        <w:tc>
          <w:tcPr>
            <w:tcW w:w="1290" w:type="dxa"/>
            <w:noWrap w:val="0"/>
            <w:vAlign w:val="top"/>
          </w:tcPr>
          <w:p>
            <w:pPr>
              <w:widowControl/>
              <w:shd w:val="clear" w:color="auto" w:fill="FFFFFF"/>
              <w:spacing w:line="360" w:lineRule="auto"/>
              <w:ind w:firstLine="480"/>
              <w:jc w:val="left"/>
              <w:rPr>
                <w:rFonts w:hint="eastAsia" w:ascii="仿宋" w:hAnsi="仿宋" w:eastAsia="仿宋" w:cs="Times New Roman"/>
                <w:sz w:val="24"/>
                <w:szCs w:val="24"/>
              </w:rPr>
            </w:pPr>
            <w:r>
              <w:rPr>
                <w:rFonts w:hint="eastAsia" w:ascii="仿宋" w:hAnsi="仿宋" w:eastAsia="仿宋" w:cs="Times New Roman"/>
                <w:sz w:val="24"/>
                <w:szCs w:val="24"/>
              </w:rPr>
              <w:t>1</w:t>
            </w:r>
          </w:p>
        </w:tc>
        <w:tc>
          <w:tcPr>
            <w:tcW w:w="3846" w:type="dxa"/>
            <w:noWrap w:val="0"/>
            <w:vAlign w:val="top"/>
          </w:tcPr>
          <w:p>
            <w:pPr>
              <w:widowControl/>
              <w:shd w:val="clear" w:color="auto" w:fill="FFFFFF"/>
              <w:spacing w:line="360" w:lineRule="auto"/>
              <w:jc w:val="left"/>
              <w:rPr>
                <w:rFonts w:hint="eastAsia" w:ascii="仿宋" w:hAnsi="仿宋" w:eastAsia="仿宋" w:cs="Times New Roman"/>
                <w:sz w:val="24"/>
                <w:szCs w:val="24"/>
              </w:rPr>
            </w:pPr>
            <w:r>
              <w:rPr>
                <w:rFonts w:hint="eastAsia" w:ascii="微软雅黑" w:hAnsi="微软雅黑" w:eastAsia="微软雅黑" w:cs="微软雅黑"/>
                <w:b/>
                <w:bCs/>
                <w:i w:val="0"/>
                <w:iCs w:val="0"/>
                <w:caps w:val="0"/>
                <w:color w:val="404040"/>
                <w:spacing w:val="0"/>
                <w:kern w:val="0"/>
                <w:sz w:val="24"/>
                <w:szCs w:val="24"/>
                <w:shd w:val="clear" w:fill="FFFFFF"/>
                <w:lang w:val="en-US" w:eastAsia="zh-CN" w:bidi="ar"/>
              </w:rPr>
              <w:t>麻醉临床信息系统维保</w:t>
            </w:r>
          </w:p>
        </w:tc>
        <w:tc>
          <w:tcPr>
            <w:tcW w:w="3643" w:type="dxa"/>
            <w:noWrap w:val="0"/>
            <w:vAlign w:val="top"/>
          </w:tcPr>
          <w:p>
            <w:pPr>
              <w:widowControl/>
              <w:shd w:val="clear" w:color="auto" w:fill="FFFFFF"/>
              <w:spacing w:line="360" w:lineRule="auto"/>
              <w:ind w:firstLine="480"/>
              <w:jc w:val="left"/>
              <w:rPr>
                <w:rFonts w:hint="eastAsia" w:ascii="仿宋" w:hAnsi="仿宋" w:eastAsia="仿宋" w:cs="Times New Roman"/>
                <w:sz w:val="24"/>
                <w:szCs w:val="24"/>
              </w:rPr>
            </w:pPr>
            <w:r>
              <w:rPr>
                <w:rFonts w:hint="eastAsia" w:ascii="仿宋" w:hAnsi="仿宋" w:eastAsia="仿宋" w:cs="Times New Roman"/>
                <w:sz w:val="24"/>
                <w:szCs w:val="24"/>
              </w:rPr>
              <w:t>软件和信息技术服务业</w:t>
            </w:r>
          </w:p>
        </w:tc>
      </w:tr>
    </w:tbl>
    <w:p>
      <w:pPr>
        <w:spacing w:line="360" w:lineRule="auto"/>
        <w:ind w:firstLine="480" w:firstLineChars="200"/>
        <w:jc w:val="center"/>
        <w:rPr>
          <w:rFonts w:hint="default" w:ascii="微软雅黑" w:hAnsi="微软雅黑" w:eastAsia="微软雅黑" w:cs="微软雅黑"/>
          <w:b/>
          <w:bCs/>
          <w:i w:val="0"/>
          <w:iCs w:val="0"/>
          <w:caps w:val="0"/>
          <w:color w:val="404040"/>
          <w:spacing w:val="0"/>
          <w:kern w:val="0"/>
          <w:sz w:val="24"/>
          <w:szCs w:val="24"/>
          <w:shd w:val="clear" w:fill="FFFFFF"/>
          <w:lang w:val="en-US" w:eastAsia="zh-CN" w:bidi="ar"/>
        </w:rPr>
      </w:pPr>
    </w:p>
    <w:p>
      <w:pPr>
        <w:spacing w:line="360" w:lineRule="auto"/>
        <w:rPr>
          <w:rFonts w:hint="eastAsia" w:asciiTheme="minorEastAsia" w:hAnsiTheme="minorEastAsia"/>
          <w:b/>
          <w:szCs w:val="21"/>
          <w:lang w:val="en-US" w:eastAsia="zh-CN"/>
        </w:rPr>
      </w:pPr>
      <w:r>
        <w:rPr>
          <w:rFonts w:hint="eastAsia" w:asciiTheme="minorEastAsia" w:hAnsiTheme="minorEastAsia"/>
          <w:b/>
          <w:szCs w:val="21"/>
          <w:lang w:val="en-US" w:eastAsia="zh-CN"/>
        </w:rPr>
        <w:t>二、维护的功能模块附件：</w:t>
      </w: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13"/>
        <w:gridCol w:w="1920"/>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1"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213"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系统名称</w:t>
            </w:r>
          </w:p>
        </w:tc>
        <w:tc>
          <w:tcPr>
            <w:tcW w:w="1920"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功能名称</w:t>
            </w:r>
          </w:p>
        </w:tc>
        <w:tc>
          <w:tcPr>
            <w:tcW w:w="5386" w:type="dxa"/>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w:t>
            </w:r>
          </w:p>
        </w:tc>
        <w:tc>
          <w:tcPr>
            <w:tcW w:w="1213" w:type="dxa"/>
            <w:vMerge w:val="restart"/>
            <w:shd w:val="clear" w:color="auto" w:fill="auto"/>
            <w:noWrap/>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麻醉手术排班管理子系统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手术申请接收功能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批量同步HIS下达的手术申请信息。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能够接收指定时间段内HIS下达的手术申请信息。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能够支持对多手术科室批量接收手术申请。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查看临床科室申请的手术申请单详细信息，并显示临床科室对手术的特殊要求。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手术申请安排功能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能够为手术申请分配手术间。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为手术申请信息分配麻醉医生。</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为方便分配资源，可以对特别手术进行标识，显示手术的特殊要求等。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为手术申请安排洗手护士、巡回护士。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手术通知功能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根据手术安排情况自动生成符合医院要求的患者接送单。提供患者接送单打印。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根据手术安排情况自动生成符合医院要求的手术通知单。提供手术通知单打印。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麻醉术前信息管理子系统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手术排班接收功能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快速批量接收HIS已下达的手术排班信息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系统可提供定时接收、按照指定科室、指定时间段接收等多种方式接收HIS系统的手术排班信息。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患者术前访视功能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按照医院要求的格式自动生成术前访视单，记录患者基本信息、麻醉方法、术中困难及防范措施，并支持模板套用功能。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信息系统接口支持功能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集成HIS系统，查看患者医嘱信息，支持医嘱类型过滤。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集成LIS系统，查看患者的所有检验报告主记录、检验报告的明细结果。并自动填充到术前访视单中。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支持调取患者检查检验信息，并可根据患者多次检查结果形成趋势图，辅助医生快速对检查检验结果进行诊断。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支持调阅患者检验信息时，对于超出阈值的检验结果系统会给予预警提示，并给出评估结果及处置建议。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麻醉计划功能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提供麻醉计划单，辅助麻醉医生通过系统查看患者病情、病史，便于拟定患者麻醉计划。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术前急诊手术管理功能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通过录入患者ID或住院号从HIS系统中提取急诊手术信，可实现快速安排患者进行手术。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患者知情同意功能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提供患者知情同意书格式，生成麻醉患者知情同意书。提供患者知情同意书打印。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支持根据患者手术差异，动态展示患者同意书内容。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术前麻醉评估功能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支持通过系统集成查看患者信息，配合麻醉术前访视结果，辅助麻醉医生快速完成麻醉术前评估及评分功能。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支持风险评估单分数自动汇总。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术前讨论功能</w:t>
            </w:r>
          </w:p>
        </w:tc>
        <w:tc>
          <w:tcPr>
            <w:tcW w:w="5386" w:type="dxa"/>
            <w:shd w:val="clear" w:color="auto" w:fill="auto"/>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支持在术前调取并集成病人的检验检查等信息，辅助医生进行术前讨论并记录讨论内容。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麻醉术中信息管理子系统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监护设备体征数据集成功能</w:t>
            </w:r>
          </w:p>
        </w:tc>
        <w:tc>
          <w:tcPr>
            <w:tcW w:w="5386"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获取监护仪的患者体征信息，如血压、脉搏、心率、SPO2、呼吸频率等患者生命体征信息，并自动将获取到的监护体征数据按医疗规范要求的时间间隔自动在麻醉单上绘制出体征趋势图。数据实时传送到服务器数据库内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vMerge w:val="continue"/>
            <w:vAlign w:val="center"/>
          </w:tcPr>
          <w:p>
            <w:pPr>
              <w:widowControl/>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支持</w:t>
            </w:r>
            <w:r>
              <w:rPr>
                <w:rFonts w:hint="eastAsia" w:ascii="宋体" w:hAnsi="宋体" w:eastAsia="宋体" w:cs="宋体"/>
                <w:color w:val="auto"/>
                <w:kern w:val="0"/>
                <w:sz w:val="21"/>
                <w:szCs w:val="21"/>
                <w:lang w:val="en-US" w:eastAsia="zh-CN"/>
              </w:rPr>
              <w:t>术中监护体征数据导出。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支持设置体征参数在麻醉单上的显示方式，提供两种以上不同风格供选择</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在术中对本手术间床位进行信息监控，当患者出现异常体征时能弹出消息窗发出警示</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术中麻醉记录 </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自动提取手术安排结果中患者基本信息、手术人员安排信息并填充到麻醉记录单中。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手术流程以清晰的时间轴方式展现，便于医护人员实时掌握手术目前进程，提高医护人员对手术流程的把控。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自动</w:t>
            </w:r>
            <w:r>
              <w:rPr>
                <w:rFonts w:hint="eastAsia" w:ascii="宋体" w:hAnsi="宋体" w:eastAsia="宋体" w:cs="宋体"/>
                <w:color w:val="auto"/>
                <w:kern w:val="0"/>
                <w:sz w:val="21"/>
                <w:szCs w:val="21"/>
                <w:lang w:val="en-US" w:eastAsia="zh-CN"/>
              </w:rPr>
              <w:t>获取</w:t>
            </w:r>
            <w:r>
              <w:rPr>
                <w:rFonts w:hint="eastAsia" w:ascii="宋体" w:hAnsi="宋体" w:eastAsia="宋体" w:cs="宋体"/>
                <w:color w:val="auto"/>
                <w:kern w:val="0"/>
                <w:sz w:val="21"/>
                <w:szCs w:val="21"/>
              </w:rPr>
              <w:t>麻醉医生录入麻醉事件时间作为事件发生时间（或持续事件的起始时间），自动匹配该事件对应的剂量、途径、持续情况。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支持</w:t>
            </w:r>
            <w:r>
              <w:rPr>
                <w:rFonts w:hint="eastAsia" w:ascii="宋体" w:hAnsi="宋体" w:eastAsia="宋体" w:cs="宋体"/>
                <w:color w:val="auto"/>
                <w:kern w:val="0"/>
                <w:sz w:val="21"/>
                <w:szCs w:val="21"/>
              </w:rPr>
              <w:t>对连续事件进行倒计时提醒，可设置</w:t>
            </w:r>
            <w:r>
              <w:rPr>
                <w:rFonts w:hint="eastAsia" w:ascii="宋体" w:hAnsi="宋体" w:eastAsia="宋体" w:cs="宋体"/>
                <w:color w:val="auto"/>
                <w:kern w:val="0"/>
                <w:sz w:val="21"/>
                <w:szCs w:val="21"/>
                <w:lang w:val="en-US" w:eastAsia="zh-CN"/>
              </w:rPr>
              <w:t>提醒事件类型及倒计时时长。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通过下拉菜单、拼音首字母模糊检索出药品、事件字典信息，实现麻醉事件及用药的快速录入。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在现有用药事件基础上快速追加录入。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在药品录入时自动匹配录入的药品剂量、浓度、速度单位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配置快捷药品事件栏以及药品常用量，在独立界面以按钮形式展现，实现常用药品、事件的快速录入。</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支持排序，常用的可以配置排在前列。</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支持同一事件或药物的快速复制追加功能。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支持根据术中登记事件使用频次，动态调整事件显示顺序。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以公有和私有的方式管理麻醉记录单模板，实现以模板套用的方式辅助麻醉医生快速录入完成麻醉单。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将术中麻醉操作以数字序号方式标记在治疗序号区域对应时间点，对应麻醉备注区域事件详情。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设置用户权限对受干扰的体征数据进行修正，并修正后的结果突出显示。</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图形化修改体征的便捷操作。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能够模拟监护仪对体征参数进行实时动态显示，同时不干扰麻醉记录单趋势图的正常显示。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支持直接在麻醉记录单上</w:t>
            </w:r>
            <w:r>
              <w:rPr>
                <w:rFonts w:hint="eastAsia" w:ascii="宋体" w:hAnsi="宋体" w:eastAsia="宋体" w:cs="宋体"/>
                <w:color w:val="auto"/>
                <w:kern w:val="0"/>
                <w:sz w:val="21"/>
                <w:szCs w:val="21"/>
                <w:lang w:val="en-US" w:eastAsia="zh-CN"/>
              </w:rPr>
              <w:t>移动鼠标</w:t>
            </w:r>
            <w:r>
              <w:rPr>
                <w:rFonts w:hint="eastAsia" w:ascii="宋体" w:hAnsi="宋体" w:eastAsia="宋体" w:cs="宋体"/>
                <w:color w:val="auto"/>
                <w:kern w:val="0"/>
                <w:sz w:val="21"/>
                <w:szCs w:val="21"/>
              </w:rPr>
              <w:t>完成</w:t>
            </w:r>
            <w:r>
              <w:rPr>
                <w:rFonts w:hint="eastAsia" w:ascii="宋体" w:hAnsi="宋体" w:eastAsia="宋体" w:cs="宋体"/>
                <w:color w:val="auto"/>
                <w:kern w:val="0"/>
                <w:sz w:val="21"/>
                <w:szCs w:val="21"/>
                <w:lang w:val="en-US" w:eastAsia="zh-CN"/>
              </w:rPr>
              <w:t>术中</w:t>
            </w:r>
            <w:r>
              <w:rPr>
                <w:rFonts w:hint="eastAsia" w:ascii="宋体" w:hAnsi="宋体" w:eastAsia="宋体" w:cs="宋体"/>
                <w:color w:val="auto"/>
                <w:kern w:val="0"/>
                <w:sz w:val="21"/>
                <w:szCs w:val="21"/>
              </w:rPr>
              <w:t>监护</w:t>
            </w:r>
            <w:r>
              <w:rPr>
                <w:rFonts w:hint="eastAsia" w:ascii="宋体" w:hAnsi="宋体" w:eastAsia="宋体" w:cs="宋体"/>
                <w:color w:val="auto"/>
                <w:kern w:val="0"/>
                <w:sz w:val="21"/>
                <w:szCs w:val="21"/>
                <w:lang w:val="en-US" w:eastAsia="zh-CN"/>
              </w:rPr>
              <w:t>体征曲线</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描绘</w:t>
            </w: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修正前原始数据的保存功能。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麻醉记录单操作页面可进行放大缩小，调整记录单显示比例，并且缩放后可继续操作录入麻醉记录内容。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可直接利用鼠标在麻醉记录单上拖动用药，对</w:t>
            </w:r>
            <w:r>
              <w:rPr>
                <w:rFonts w:hint="eastAsia" w:ascii="宋体" w:hAnsi="宋体" w:eastAsia="宋体" w:cs="宋体"/>
                <w:color w:val="auto"/>
                <w:kern w:val="0"/>
                <w:sz w:val="21"/>
                <w:szCs w:val="21"/>
                <w:lang w:val="en-US" w:eastAsia="zh-CN"/>
              </w:rPr>
              <w:t>用药时间及</w:t>
            </w:r>
            <w:r>
              <w:rPr>
                <w:rFonts w:hint="eastAsia" w:ascii="宋体" w:hAnsi="宋体" w:eastAsia="宋体" w:cs="宋体"/>
                <w:color w:val="auto"/>
                <w:kern w:val="0"/>
                <w:sz w:val="21"/>
                <w:szCs w:val="21"/>
              </w:rPr>
              <w:t>持续时间进行快速调整。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可直接利用鼠标在麻醉记录单上拖动输血、出量、入量，对发生时间或持续时间进行快速调整。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noWrap/>
            <w:vAlign w:val="bottom"/>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支持记录</w:t>
            </w:r>
            <w:r>
              <w:rPr>
                <w:rFonts w:hint="eastAsia" w:ascii="宋体" w:hAnsi="宋体" w:eastAsia="宋体" w:cs="宋体"/>
                <w:color w:val="auto"/>
                <w:kern w:val="0"/>
                <w:sz w:val="21"/>
                <w:szCs w:val="21"/>
              </w:rPr>
              <w:t>输液输血通道通道名称，不同通道</w:t>
            </w:r>
            <w:r>
              <w:rPr>
                <w:rFonts w:hint="eastAsia" w:ascii="宋体" w:hAnsi="宋体" w:eastAsia="宋体" w:cs="宋体"/>
                <w:color w:val="auto"/>
                <w:kern w:val="0"/>
                <w:sz w:val="21"/>
                <w:szCs w:val="21"/>
                <w:lang w:val="en-US" w:eastAsia="zh-CN"/>
              </w:rPr>
              <w:t>以</w:t>
            </w:r>
            <w:r>
              <w:rPr>
                <w:rFonts w:hint="eastAsia" w:ascii="宋体" w:hAnsi="宋体" w:eastAsia="宋体" w:cs="宋体"/>
                <w:color w:val="auto"/>
                <w:kern w:val="0"/>
                <w:sz w:val="21"/>
                <w:szCs w:val="21"/>
              </w:rPr>
              <w:t>不同颜色区分</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支持术中出入量汇总支持配置自动计算。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支持根据患者出手术室情况，麻醉记录单体征数据和持续事件可自动结束。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密集体征采集功能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术中可对患者体征密集进行监护采集与记录。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抢救模式</w:t>
            </w:r>
          </w:p>
        </w:tc>
        <w:tc>
          <w:tcPr>
            <w:tcW w:w="5386" w:type="dxa"/>
            <w:shd w:val="clear" w:color="auto" w:fill="auto"/>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支持患者抢救模式，体征数据在抢救模式下每一分钟在麻醉记录单上显示一组。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麻醉医生交班功能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提供麻醉医生接班交班功能登记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并记录交班备注</w:t>
            </w: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转出手术功能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提供转出手术时，可选择转出至病房、PACU、ICU。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手术护理记录功能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记录患者手术过程中的护理情况，形成护理记录单。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手术器械清点功能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记录手术器械的名称及术前、术中关前及关后器械核对后的数量，形成手术清点单。支持通过模板套用录入。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麻醉术后信息管理子系统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术后复苏记录功能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记录术后复苏过程中麻醉用药、事件情况、生命体征等信息，自动生成复苏记录单。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支持延续麻醉记录单模式，保证术中与复苏的患者数据连贯一致。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术后手术登记功能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可对术后患者进行手术信息补录，完善手术信息，便于统计。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术后访视记录功能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按照医院要求的格式生成术后随访单，记录患者术后随访信息。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术后镇痛记录功能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按照医院要求的格式生成术后镇痛记录单，记录患者术后镇痛效果。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术后麻醉总结功能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按照医院要求的格式生成麻醉总结记录单，记录对患者的麻醉过程、麻醉效果进行总结。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术后麻醉评分功能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提供麻醉复苏（Steward苏醒评分）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提供疼痛评分。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5</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麻醉手术取消管理子系统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手术取消功能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对未安排的手术申请可以进行取消操作。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对已经安排的手术、手术人员、麻醉人员进行修改或者撤销手术，记录取消的手术的原因，并进行统计。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对麻醉已经开始的手术进行取消，支持取消原因快捷录入或者手工录入。可对该手术进行特殊标识，并能记录麻醉工作量。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麻醉手术病案管理子系统</w:t>
            </w: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病案打印功能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可对患者病案进行单独打印和集中打印。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病案归档功能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可打印患者的麻醉相关病案，打印病案后自动完成病案归档。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显示病案归档时间和归档状态。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病案提交提醒功能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支持病案的自动归档和未归档提醒，支持对指定时间未归档的信息进行提醒，支持指定自动归档时间。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病案完整性校验功能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在提交病案时进行提醒，可检查指定时间范围内所有患者的病案提交的完整情况,便于科室检查病案提交工作。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病案变更审核功能</w:t>
            </w: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在完成麻醉病案提交后的文档将自动封存，提交后的病案不允许编辑、修改。</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提供管理员权限能够修改病案信息，并记录操作。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病案追溯功能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病案独立管理功能模块支持各个病案文书的独立权限开放，方便对各个病案文书进行独立管理。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麻醉病程回顾功能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提供检索功能，辅助快速查询指定患者病案信息。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查阅指定患者历史住院的手术麻醉记录。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信息查阅功能</w:t>
            </w:r>
          </w:p>
        </w:tc>
        <w:tc>
          <w:tcPr>
            <w:tcW w:w="5386" w:type="dxa"/>
            <w:vMerge w:val="restart"/>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浏览指定患者所有的麻醉病案，支持浏览器在院内任意电脑终端查看患者的完整麻醉医疗文书。</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支持查看医生给患者下的医嘱信息。</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支持查看患者的检验信息。</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支持查看患者的检查信息。</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支持查看患者住院期间的所有麻醉病历。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vMerge w:val="continue"/>
            <w:vAlign w:val="center"/>
          </w:tcPr>
          <w:p>
            <w:pPr>
              <w:widowControl/>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vMerge w:val="continue"/>
            <w:vAlign w:val="center"/>
          </w:tcPr>
          <w:p>
            <w:pPr>
              <w:widowControl/>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vMerge w:val="continue"/>
            <w:vAlign w:val="center"/>
          </w:tcPr>
          <w:p>
            <w:pPr>
              <w:widowControl/>
              <w:jc w:val="left"/>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7</w:t>
            </w:r>
          </w:p>
        </w:tc>
        <w:tc>
          <w:tcPr>
            <w:tcW w:w="1213" w:type="dxa"/>
            <w:vMerge w:val="restart"/>
            <w:shd w:val="clear" w:color="auto" w:fill="auto"/>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麻醉系统支撑平台子系统</w:t>
            </w: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信息系统接口支持功能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支持WEB services、视图等多种集成方式。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集成HIS系统，查看患者基本信息、医嘱信息、住院信息、手术申请信息，支持医嘱类型过滤。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集成LIS系统，查看患者的所有检验报告主记录、检验报告的明细结果。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设备数据接口基本功能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能获取监护仪上的血压、脉搏、心率、SPO2等患者生命体征信息。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记录断网情况下的当台患者体征数据。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维护基础信息功能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支持通过HIS更新本地字典。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支持用户手工维护本地字典。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支持维护医护人员、诊断、麻醉分级等基本字典信息。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支持维护科室手术间。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配置麻醉记录字典，包括麻醉事件、麻醉常用量、麻醉方法。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文书模板管理功能</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支持将现有医疗文书内容保存为模板。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支持快速套用系统维护的医疗文书模版。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支持配置文书模板，包括麻醉记录模板、访视、总结模板。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支持管理员对公有模板进行编辑维护。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支持麻醉医生创建私有模板，仅限创建者可见。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restart"/>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系统安全与数据维护</w:t>
            </w: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离线保存断网期间采集的体征数据。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提供数据库备份机制（Rman），定期对数据进行备份。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vAlign w:val="center"/>
          </w:tcPr>
          <w:p>
            <w:pPr>
              <w:widowControl/>
              <w:jc w:val="left"/>
              <w:rPr>
                <w:rFonts w:hint="eastAsia" w:ascii="宋体" w:hAnsi="宋体" w:eastAsia="宋体" w:cs="宋体"/>
                <w:b/>
                <w:bCs/>
                <w:color w:val="auto"/>
                <w:kern w:val="0"/>
                <w:sz w:val="21"/>
                <w:szCs w:val="21"/>
              </w:rPr>
            </w:pPr>
          </w:p>
        </w:tc>
        <w:tc>
          <w:tcPr>
            <w:tcW w:w="1213" w:type="dxa"/>
            <w:vMerge w:val="continue"/>
            <w:vAlign w:val="center"/>
          </w:tcPr>
          <w:p>
            <w:pPr>
              <w:widowControl/>
              <w:jc w:val="left"/>
              <w:rPr>
                <w:rFonts w:hint="eastAsia" w:ascii="宋体" w:hAnsi="宋体" w:eastAsia="宋体" w:cs="宋体"/>
                <w:b/>
                <w:bCs/>
                <w:color w:val="auto"/>
                <w:kern w:val="0"/>
                <w:sz w:val="21"/>
                <w:szCs w:val="21"/>
              </w:rPr>
            </w:pPr>
          </w:p>
        </w:tc>
        <w:tc>
          <w:tcPr>
            <w:tcW w:w="1920" w:type="dxa"/>
            <w:vMerge w:val="continue"/>
            <w:vAlign w:val="center"/>
          </w:tcPr>
          <w:p>
            <w:pPr>
              <w:widowControl/>
              <w:jc w:val="left"/>
              <w:rPr>
                <w:rFonts w:hint="eastAsia" w:ascii="宋体" w:hAnsi="宋体" w:eastAsia="宋体" w:cs="宋体"/>
                <w:color w:val="auto"/>
                <w:kern w:val="0"/>
                <w:sz w:val="21"/>
                <w:szCs w:val="21"/>
              </w:rPr>
            </w:pPr>
          </w:p>
        </w:tc>
        <w:tc>
          <w:tcPr>
            <w:tcW w:w="5386" w:type="dxa"/>
            <w:shd w:val="clear" w:color="auto" w:fill="auto"/>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编辑系统角色的名称，用于分配一系列的程序功能访问权限。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8</w:t>
            </w:r>
          </w:p>
        </w:tc>
        <w:tc>
          <w:tcPr>
            <w:tcW w:w="1213"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麻醉PACU管理子系统</w:t>
            </w: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复苏记录功能</w:t>
            </w:r>
          </w:p>
        </w:tc>
        <w:tc>
          <w:tcPr>
            <w:tcW w:w="5386" w:type="dxa"/>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自动提取患者基本信息、手术信息，记录患者苏醒过程、出入复苏室时间、复苏评分等，自动生成符合医院要求的复苏记录单格式并支持打印。</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快速选择记录复苏事件、用药信息。</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支持用药剂量、浓度、速度、途径等快速选择。</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支持药品的快速检索，同时常用药品和常用量可以靠前排序。</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统一监控所有复苏床位的患者信息，当患者出现异常体征时能弹出消息窗发出警示。</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支持设置体征参数在复苏单上的显示方式，提供两种以上不同风格供选择。</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设置用户权限对受干扰的体征数据进行修正，并修正后的结果突出显示。</w:t>
            </w:r>
          </w:p>
          <w:p>
            <w:pPr>
              <w:widowControl/>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提供图形化修改体征的便捷操作。</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提供修正前原始数据的保存功能。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Merge w:val="restart"/>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复苏评分功能</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支持麻醉复苏（Steward苏醒评分）支持根据睁眼反应、语言反应、运动反应评估患者昏迷程度。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Merge w:val="continue"/>
          </w:tcPr>
          <w:p>
            <w:pPr>
              <w:widowControl/>
              <w:jc w:val="left"/>
              <w:rPr>
                <w:rFonts w:hint="eastAsia" w:ascii="宋体" w:hAnsi="宋体" w:eastAsia="宋体" w:cs="宋体"/>
                <w:color w:val="auto"/>
                <w:kern w:val="0"/>
                <w:sz w:val="21"/>
                <w:szCs w:val="21"/>
              </w:rPr>
            </w:pP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支持麻醉复苏（Steward苏醒评分）支持根据面部表情、下肢动作、活动、哭闹、是否易安慰项，辅助评估患者疼痛程度，提供疼痛评分。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Merge w:val="continue"/>
          </w:tcPr>
          <w:p>
            <w:pPr>
              <w:widowControl/>
              <w:jc w:val="left"/>
              <w:rPr>
                <w:rFonts w:hint="eastAsia" w:ascii="宋体" w:hAnsi="宋体" w:eastAsia="宋体" w:cs="宋体"/>
                <w:color w:val="auto"/>
                <w:kern w:val="0"/>
                <w:sz w:val="21"/>
                <w:szCs w:val="21"/>
              </w:rPr>
            </w:pP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支持麻醉复苏（Steward苏醒评分）能够评估患者清醒程度，是否满足转出条件。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Merge w:val="continue"/>
          </w:tcPr>
          <w:p>
            <w:pPr>
              <w:widowControl/>
              <w:jc w:val="left"/>
              <w:rPr>
                <w:rFonts w:hint="eastAsia" w:ascii="宋体" w:hAnsi="宋体" w:eastAsia="宋体" w:cs="宋体"/>
                <w:color w:val="auto"/>
                <w:kern w:val="0"/>
                <w:sz w:val="21"/>
                <w:szCs w:val="21"/>
              </w:rPr>
            </w:pP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支持麻醉复苏（Steward苏醒评分）能够监测评价患者活动、意识以及生命体征情况，是否满足转出条件。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复苏采集功能</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自动将采集到的监护仪生命体征参数记录在复苏单上，并将数据实时传送到服务器数据库内存储。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术后复苏延续麻醉记录</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提供复苏记录单延续术中麻醉记录单的模式，便于查阅术中信息，并保证术中与复苏期间的患者数据前后衔接，无断点。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麻醉记录单快速查阅</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复苏室麻醉医师可在复苏室查阅患者麻醉记录单，了解患者术中情况。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PACU床位管理功能</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能通过图形化界面显示现有复苏室所有床位的占用情况，并显示复苏中的患者基本信息。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9</w:t>
            </w:r>
          </w:p>
        </w:tc>
        <w:tc>
          <w:tcPr>
            <w:tcW w:w="1213"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麻醉术中</w:t>
            </w:r>
            <w:r>
              <w:rPr>
                <w:rFonts w:hint="eastAsia" w:ascii="宋体" w:hAnsi="宋体" w:eastAsia="宋体" w:cs="宋体"/>
                <w:b/>
                <w:bCs/>
                <w:color w:val="auto"/>
                <w:kern w:val="0"/>
                <w:sz w:val="21"/>
                <w:szCs w:val="21"/>
                <w:lang w:val="en-US" w:eastAsia="zh-CN"/>
              </w:rPr>
              <w:t>协同</w:t>
            </w:r>
            <w:r>
              <w:rPr>
                <w:rFonts w:hint="eastAsia" w:ascii="宋体" w:hAnsi="宋体" w:eastAsia="宋体" w:cs="宋体"/>
                <w:b/>
                <w:bCs/>
                <w:color w:val="auto"/>
                <w:kern w:val="0"/>
                <w:sz w:val="21"/>
                <w:szCs w:val="21"/>
              </w:rPr>
              <w:t>子系统</w:t>
            </w:r>
          </w:p>
        </w:tc>
        <w:tc>
          <w:tcPr>
            <w:tcW w:w="1920" w:type="dxa"/>
            <w:vMerge w:val="restart"/>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手术进程管理功能</w:t>
            </w: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全屏显示今日手术的进程情况，包括手术间、台次、患者信息、病区、手术人员安排等信息。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Merge w:val="continue"/>
          </w:tcPr>
          <w:p>
            <w:pPr>
              <w:widowControl/>
              <w:jc w:val="left"/>
              <w:rPr>
                <w:rFonts w:hint="eastAsia" w:ascii="宋体" w:hAnsi="宋体" w:eastAsia="宋体" w:cs="宋体"/>
                <w:color w:val="auto"/>
                <w:kern w:val="0"/>
                <w:sz w:val="21"/>
                <w:szCs w:val="21"/>
              </w:rPr>
            </w:pP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能够支持以时间轴形式显示各手术间手术状态和进程，至少包括手术间、台次、患者信息、病区、手术人员安排等信息，不同状态下用不同的颜色区分，辅助医生快速了解每个手术间目前手术情况、已完成手术情况、排台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手术监控功能</w:t>
            </w: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手术监控功能，辅助医生对各个手术室进行监控，显示各个手术室当前的手术情况，并能快速双击切换到对应患者的麻醉记录单。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快捷键功能</w:t>
            </w: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支持配置快捷键，辅助麻醉医生快速录入麻醉事件。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紧急报警功能</w:t>
            </w: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进入抢救模式后可进行紧急报警，各手术间会弹出报警框，提示报警的手术间及患者手术信息。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消息通讯功能</w:t>
            </w:r>
          </w:p>
        </w:tc>
        <w:tc>
          <w:tcPr>
            <w:tcW w:w="5386" w:type="dxa"/>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能够支持各麻醉客户端进行文字通讯。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491"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1</w:t>
            </w:r>
            <w:r>
              <w:rPr>
                <w:rFonts w:hint="eastAsia" w:ascii="宋体" w:hAnsi="宋体" w:cs="宋体"/>
                <w:b/>
                <w:bCs/>
                <w:color w:val="auto"/>
                <w:kern w:val="0"/>
                <w:sz w:val="21"/>
                <w:szCs w:val="21"/>
                <w:lang w:val="en-US" w:eastAsia="zh-CN"/>
              </w:rPr>
              <w:t>0</w:t>
            </w:r>
          </w:p>
        </w:tc>
        <w:tc>
          <w:tcPr>
            <w:tcW w:w="1213" w:type="dxa"/>
            <w:vMerge w:val="restart"/>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麻醉质控上报管理子系统</w:t>
            </w: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麻醉质控指标统计功能</w:t>
            </w:r>
          </w:p>
        </w:tc>
        <w:tc>
          <w:tcPr>
            <w:tcW w:w="5386" w:type="dxa"/>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系统对质控指标进行过程质控，自动汇总麻醉记录中质控相关数据，便于科室定期自查。具体监测项目包括：</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【20</w:t>
            </w:r>
            <w:r>
              <w:rPr>
                <w:rFonts w:hint="eastAsia" w:ascii="宋体" w:hAnsi="宋体" w:eastAsia="宋体" w:cs="宋体"/>
                <w:color w:val="auto"/>
                <w:kern w:val="0"/>
                <w:sz w:val="21"/>
                <w:szCs w:val="21"/>
                <w:lang w:val="en-US" w:eastAsia="zh-CN"/>
              </w:rPr>
              <w:t>22</w:t>
            </w:r>
            <w:r>
              <w:rPr>
                <w:rFonts w:hint="eastAsia" w:ascii="宋体" w:hAnsi="宋体" w:eastAsia="宋体" w:cs="宋体"/>
                <w:color w:val="auto"/>
                <w:kern w:val="0"/>
                <w:sz w:val="21"/>
                <w:szCs w:val="21"/>
              </w:rPr>
              <w:t>版麻醉专业医疗质量控制指标】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一、麻醉科医患比</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二、麻醉医师人均年麻醉例次</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三、手术室外麻醉占比</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四、择期手术麻醉前访视率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五、入室后手术麻醉取消率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六、麻醉开始后手术取消率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七、全身麻醉术中体温监测率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八、术中主动保温率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九、术中自体血输注率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十、手术麻醉期间低体温发生率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十一、术中牙齿损伤发生率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十二、麻醉期间严重反流误吸发生率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十三、计划外建立人工气道发生率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十四、术中呼吸心跳骤停率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十五、麻醉期间严重过敏反应发生率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十六、全身麻醉术中知晓发生率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十七、PACU入室低体温发生率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十八、麻醉后PACU转出延迟率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十九、非计划二次气管插管率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二十、非计划转入ICU率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二十一、术后镇痛满意率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二十二、区域阻滞麻醉后严重神经并发症发生率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二十三、全身麻醉气管插管拔管后声音嘶哑发生率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二十四、麻醉后新发昏迷发生率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二十五、麻醉后24小时内患者死亡率</w:t>
            </w:r>
          </w:p>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二十六、阴道分娩椎管内麻醉使用率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dxa"/>
            <w:vMerge w:val="continue"/>
          </w:tcPr>
          <w:p>
            <w:pPr>
              <w:widowControl/>
              <w:jc w:val="left"/>
              <w:rPr>
                <w:rFonts w:hint="eastAsia" w:ascii="宋体" w:hAnsi="宋体" w:eastAsia="宋体" w:cs="宋体"/>
                <w:b/>
                <w:bCs/>
                <w:color w:val="auto"/>
                <w:kern w:val="0"/>
                <w:sz w:val="21"/>
                <w:szCs w:val="21"/>
              </w:rPr>
            </w:pPr>
          </w:p>
        </w:tc>
        <w:tc>
          <w:tcPr>
            <w:tcW w:w="1213" w:type="dxa"/>
            <w:vMerge w:val="continue"/>
          </w:tcPr>
          <w:p>
            <w:pPr>
              <w:widowControl/>
              <w:jc w:val="left"/>
              <w:rPr>
                <w:rFonts w:hint="eastAsia" w:ascii="宋体" w:hAnsi="宋体" w:eastAsia="宋体" w:cs="宋体"/>
                <w:b/>
                <w:bCs/>
                <w:color w:val="auto"/>
                <w:kern w:val="0"/>
                <w:sz w:val="21"/>
                <w:szCs w:val="21"/>
              </w:rPr>
            </w:pPr>
          </w:p>
        </w:tc>
        <w:tc>
          <w:tcPr>
            <w:tcW w:w="1920"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质</w:t>
            </w:r>
            <w:r>
              <w:rPr>
                <w:rFonts w:hint="eastAsia" w:ascii="宋体" w:hAnsi="宋体" w:eastAsia="宋体" w:cs="宋体"/>
                <w:color w:val="auto"/>
                <w:kern w:val="0"/>
                <w:sz w:val="21"/>
                <w:szCs w:val="21"/>
                <w:lang w:val="en-US" w:eastAsia="zh-CN"/>
              </w:rPr>
              <w:t>不良事件管理</w:t>
            </w:r>
          </w:p>
        </w:tc>
        <w:tc>
          <w:tcPr>
            <w:tcW w:w="5386" w:type="dxa"/>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用户能够根据</w:t>
            </w:r>
            <w:r>
              <w:rPr>
                <w:rFonts w:hint="eastAsia" w:ascii="宋体" w:hAnsi="宋体" w:eastAsia="宋体" w:cs="宋体"/>
                <w:color w:val="auto"/>
                <w:kern w:val="0"/>
                <w:sz w:val="21"/>
                <w:szCs w:val="21"/>
                <w:lang w:val="en-US" w:eastAsia="zh-CN"/>
              </w:rPr>
              <w:t>科室</w:t>
            </w:r>
            <w:r>
              <w:rPr>
                <w:rFonts w:hint="eastAsia" w:ascii="宋体" w:hAnsi="宋体" w:eastAsia="宋体" w:cs="宋体"/>
                <w:color w:val="auto"/>
                <w:kern w:val="0"/>
                <w:sz w:val="21"/>
                <w:szCs w:val="21"/>
              </w:rPr>
              <w:t>要求对不良事件的信息化</w:t>
            </w:r>
            <w:r>
              <w:rPr>
                <w:rFonts w:hint="eastAsia" w:ascii="宋体" w:hAnsi="宋体" w:eastAsia="宋体" w:cs="宋体"/>
                <w:color w:val="auto"/>
                <w:kern w:val="0"/>
                <w:sz w:val="21"/>
                <w:szCs w:val="21"/>
                <w:lang w:val="en-US" w:eastAsia="zh-CN"/>
              </w:rPr>
              <w:t>填写及统计</w:t>
            </w:r>
            <w:r>
              <w:rPr>
                <w:rFonts w:hint="eastAsia" w:ascii="宋体" w:hAnsi="宋体" w:eastAsia="宋体" w:cs="宋体"/>
                <w:color w:val="auto"/>
                <w:kern w:val="0"/>
                <w:sz w:val="21"/>
                <w:szCs w:val="21"/>
              </w:rPr>
              <w:t>，支持打印书面报告。</w:t>
            </w:r>
          </w:p>
        </w:tc>
      </w:tr>
    </w:tbl>
    <w:p>
      <w:pPr>
        <w:spacing w:line="360" w:lineRule="auto"/>
        <w:ind w:firstLine="422" w:firstLineChars="200"/>
        <w:rPr>
          <w:rFonts w:hint="eastAsia" w:asciiTheme="minorEastAsia" w:hAnsiTheme="minorEastAsia"/>
          <w:b/>
          <w:szCs w:val="21"/>
          <w:lang w:val="en-US" w:eastAsia="zh-CN"/>
        </w:rPr>
      </w:pPr>
    </w:p>
    <w:p>
      <w:pPr>
        <w:spacing w:line="360" w:lineRule="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三、运维要求说明</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供应商在维护期限内提供给招标方的软件应用的支持和培训服务，包括软件400远程电话支持、用户培训、故障维护等，具体说明如下：</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（1）400远程电话支持</w:t>
      </w:r>
      <w:r>
        <w:rPr>
          <w:rFonts w:hint="eastAsia" w:ascii="宋体" w:hAnsi="宋体" w:cs="宋体"/>
          <w:color w:val="000000"/>
          <w:sz w:val="24"/>
        </w:rPr>
        <w:t>：乙方全国客服热线：400电话7×24小时远程支持或软件技术问题解决与分发。</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（2）故障维护：</w:t>
      </w:r>
      <w:r>
        <w:rPr>
          <w:rFonts w:hint="eastAsia" w:ascii="宋体" w:hAnsi="宋体" w:cs="宋体"/>
          <w:color w:val="000000"/>
          <w:sz w:val="24"/>
        </w:rPr>
        <w:t>乙方配合甲方解决系统运行过程中由于网络、</w:t>
      </w:r>
      <w:r>
        <w:rPr>
          <w:rFonts w:hint="eastAsia" w:ascii="宋体" w:hAnsi="宋体" w:cs="宋体"/>
          <w:color w:val="000000"/>
          <w:sz w:val="24"/>
          <w:lang w:val="en-US" w:eastAsia="zh-CN"/>
        </w:rPr>
        <w:t>对接接口、</w:t>
      </w:r>
      <w:r>
        <w:rPr>
          <w:rFonts w:hint="eastAsia" w:ascii="宋体" w:hAnsi="宋体" w:cs="宋体"/>
          <w:color w:val="000000"/>
          <w:sz w:val="24"/>
        </w:rPr>
        <w:t>服务器、计算机、操作系统等原因所产生的软件无法正常运行的情况，保障系统的正常运行，并在完成故障处理后出具产品维护报告，包含问题的原因、解决办法及建议。</w:t>
      </w:r>
    </w:p>
    <w:p>
      <w:p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（3）软件正确性维护：</w:t>
      </w:r>
      <w:r>
        <w:rPr>
          <w:rFonts w:hint="eastAsia" w:ascii="宋体" w:hAnsi="宋体" w:cs="宋体"/>
          <w:color w:val="000000"/>
          <w:sz w:val="24"/>
        </w:rPr>
        <w:t>软件运行过程中新发现的软件</w:t>
      </w:r>
      <w:r>
        <w:rPr>
          <w:rFonts w:hint="eastAsia" w:ascii="宋体" w:hAnsi="宋体" w:cs="宋体"/>
          <w:color w:val="000000"/>
          <w:sz w:val="24"/>
          <w:lang w:eastAsia="zh-CN"/>
        </w:rPr>
        <w:t>、</w:t>
      </w:r>
      <w:r>
        <w:rPr>
          <w:rFonts w:hint="eastAsia" w:ascii="宋体" w:hAnsi="宋体" w:cs="宋体"/>
          <w:color w:val="000000"/>
          <w:sz w:val="24"/>
          <w:lang w:val="en-US" w:eastAsia="zh-CN"/>
        </w:rPr>
        <w:t>报表或接口</w:t>
      </w:r>
      <w:r>
        <w:rPr>
          <w:rFonts w:hint="eastAsia" w:ascii="宋体" w:hAnsi="宋体" w:cs="宋体"/>
          <w:color w:val="000000"/>
          <w:sz w:val="24"/>
        </w:rPr>
        <w:t>错误，乙方负责维护并及时改进，同时向甲方提供软件维护说明。</w:t>
      </w:r>
    </w:p>
    <w:p>
      <w:pPr>
        <w:pStyle w:val="2"/>
        <w:spacing w:line="360" w:lineRule="auto"/>
        <w:ind w:left="255" w:firstLine="241" w:firstLineChars="100"/>
      </w:pPr>
      <w:r>
        <w:rPr>
          <w:rFonts w:hint="eastAsia" w:ascii="宋体" w:hAnsi="宋体" w:eastAsia="宋体" w:cs="宋体"/>
          <w:b/>
          <w:bCs/>
          <w:color w:val="000000"/>
          <w:kern w:val="2"/>
          <w:sz w:val="24"/>
          <w:szCs w:val="24"/>
          <w:lang w:val="en-US" w:eastAsia="zh-CN" w:bidi="ar-SA"/>
        </w:rPr>
        <w:t>（4）信息安全维护</w:t>
      </w:r>
      <w:r>
        <w:rPr>
          <w:rFonts w:hint="eastAsia" w:ascii="宋体" w:hAnsi="宋体" w:cs="宋体"/>
          <w:b/>
          <w:bCs/>
          <w:color w:val="000000"/>
          <w:sz w:val="24"/>
        </w:rPr>
        <w:t>：</w:t>
      </w:r>
      <w:r>
        <w:rPr>
          <w:rFonts w:hint="eastAsia" w:ascii="宋体" w:hAnsi="宋体"/>
          <w:kern w:val="2"/>
          <w:sz w:val="24"/>
          <w:szCs w:val="24"/>
          <w:highlight w:val="none"/>
          <w:lang w:val="en-US" w:eastAsia="zh-CN"/>
        </w:rPr>
        <w:t>如在使用过程中发现系统存在安全缺陷，则应立即进行安全修复，不得另行收费。</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5</w:t>
      </w:r>
      <w:r>
        <w:rPr>
          <w:rFonts w:hint="eastAsia" w:ascii="宋体" w:hAnsi="宋体" w:cs="宋体"/>
          <w:b/>
          <w:bCs/>
          <w:color w:val="000000"/>
          <w:sz w:val="24"/>
        </w:rPr>
        <w:t>）用户培训：</w:t>
      </w:r>
      <w:r>
        <w:rPr>
          <w:rFonts w:hint="eastAsia" w:ascii="宋体" w:hAnsi="宋体" w:cs="宋体"/>
          <w:color w:val="000000"/>
          <w:sz w:val="24"/>
        </w:rPr>
        <w:t>乙方负责软件更改后造成软件操作变化的使用培训，培训对象为甲方的医生、护士、技术工程师、业务科室的关键用户。乙方同时向甲方提供新功能使用说明。</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6</w:t>
      </w:r>
      <w:r>
        <w:rPr>
          <w:rFonts w:hint="eastAsia" w:ascii="宋体" w:hAnsi="宋体" w:cs="宋体"/>
          <w:b/>
          <w:bCs/>
          <w:color w:val="000000"/>
          <w:sz w:val="24"/>
        </w:rPr>
        <w:t>）定时巡检：</w:t>
      </w:r>
      <w:r>
        <w:rPr>
          <w:rFonts w:hint="eastAsia" w:ascii="宋体" w:hAnsi="宋体" w:cs="宋体"/>
          <w:color w:val="000000"/>
          <w:sz w:val="24"/>
        </w:rPr>
        <w:t>经甲方许可，</w:t>
      </w:r>
      <w:r>
        <w:rPr>
          <w:rFonts w:hint="eastAsia" w:ascii="宋体" w:hAnsi="宋体"/>
          <w:sz w:val="24"/>
        </w:rPr>
        <w:t>一年</w:t>
      </w:r>
      <w:r>
        <w:rPr>
          <w:rFonts w:ascii="宋体" w:hAnsi="宋体"/>
          <w:sz w:val="24"/>
        </w:rPr>
        <w:t>4</w:t>
      </w:r>
      <w:r>
        <w:rPr>
          <w:rFonts w:hint="eastAsia" w:ascii="宋体" w:hAnsi="宋体"/>
          <w:sz w:val="24"/>
        </w:rPr>
        <w:t>次巡检:每个季度一次。巡检内容包括手麻系统服务器及工作站的使用情况，确保系统能够正常使用，巡检完出具相应的巡检报告，并请相关科室签字确认</w:t>
      </w:r>
    </w:p>
    <w:p>
      <w:pPr>
        <w:spacing w:line="360" w:lineRule="auto"/>
        <w:ind w:firstLine="482" w:firstLineChars="200"/>
        <w:rPr>
          <w:rFonts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7</w:t>
      </w:r>
      <w:r>
        <w:rPr>
          <w:rFonts w:hint="eastAsia" w:ascii="宋体" w:hAnsi="宋体" w:cs="宋体"/>
          <w:b/>
          <w:bCs/>
          <w:color w:val="000000"/>
          <w:sz w:val="24"/>
        </w:rPr>
        <w:t>）需求的更新：</w:t>
      </w:r>
      <w:r>
        <w:rPr>
          <w:rFonts w:hint="eastAsia" w:ascii="宋体" w:hAnsi="宋体" w:cs="宋体"/>
          <w:color w:val="000000"/>
          <w:sz w:val="24"/>
        </w:rPr>
        <w:t>由于国家卫生主管部门政策变化导致本合同范围内的软件系统功能中的表单内容或格式需变更，医院与乙方共同协商确认后，乙方及时完善到系统中。甲方在实际工作中产生的需要系统更新的版本内的相关功能，经甲乙双方友好协商后，共同签署附加实施合同，依据技术服务工作量免费或收取部分费用；超出功能范围的内容，经甲乙双方友好协商后，按工作量核算相应费用。</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8</w:t>
      </w:r>
      <w:r>
        <w:rPr>
          <w:rFonts w:hint="eastAsia" w:ascii="宋体" w:hAnsi="宋体" w:cs="宋体"/>
          <w:b/>
          <w:bCs/>
          <w:color w:val="000000"/>
          <w:sz w:val="24"/>
        </w:rPr>
        <w:t>）客户回应承诺：</w:t>
      </w:r>
    </w:p>
    <w:p>
      <w:pPr>
        <w:spacing w:line="360" w:lineRule="auto"/>
        <w:ind w:firstLine="480" w:firstLineChars="200"/>
        <w:rPr>
          <w:rFonts w:ascii="宋体" w:hAnsi="宋体" w:cs="宋体"/>
          <w:color w:val="000000"/>
          <w:sz w:val="24"/>
        </w:rPr>
      </w:pPr>
      <w:r>
        <w:rPr>
          <w:rFonts w:hint="eastAsia" w:ascii="宋体" w:hAnsi="宋体" w:cs="宋体"/>
          <w:color w:val="000000"/>
          <w:sz w:val="24"/>
        </w:rPr>
        <w:t>在维护期内，如软件系统故障，乙方需在接到通知后30分钟内予以响应，共同协商解决方案。</w:t>
      </w:r>
    </w:p>
    <w:p>
      <w:pPr>
        <w:spacing w:line="360" w:lineRule="auto"/>
        <w:ind w:firstLine="480" w:firstLineChars="200"/>
        <w:rPr>
          <w:rFonts w:ascii="宋体" w:hAnsi="宋体" w:cs="宋体"/>
          <w:color w:val="000000"/>
          <w:sz w:val="24"/>
        </w:rPr>
      </w:pPr>
      <w:r>
        <w:rPr>
          <w:rFonts w:hint="eastAsia" w:ascii="宋体" w:hAnsi="宋体" w:cs="宋体"/>
          <w:color w:val="000000"/>
          <w:sz w:val="24"/>
        </w:rPr>
        <w:t>若需要工程师前往现场，除约定到达时间外，一般要求在4小时到达甲方指定现场。</w:t>
      </w:r>
    </w:p>
    <w:p>
      <w:pPr>
        <w:spacing w:line="360" w:lineRule="auto"/>
        <w:ind w:firstLine="480" w:firstLineChars="200"/>
        <w:rPr>
          <w:rFonts w:ascii="宋体" w:hAnsi="宋体" w:cs="宋体"/>
          <w:color w:val="000000"/>
          <w:sz w:val="24"/>
        </w:rPr>
      </w:pPr>
      <w:r>
        <w:rPr>
          <w:rFonts w:hint="eastAsia" w:ascii="宋体" w:hAnsi="宋体" w:cs="宋体"/>
          <w:color w:val="000000"/>
          <w:sz w:val="24"/>
        </w:rPr>
        <w:t>工程师在到达现场后，经现场调查后，除约定时间外，一般要求6小时内排除故障。</w:t>
      </w:r>
    </w:p>
    <w:p>
      <w:pPr>
        <w:spacing w:line="360" w:lineRule="auto"/>
        <w:ind w:firstLine="480" w:firstLineChars="200"/>
        <w:rPr>
          <w:rFonts w:ascii="宋体" w:hAnsi="宋体" w:cs="宋体"/>
          <w:color w:val="000000"/>
          <w:sz w:val="24"/>
        </w:rPr>
      </w:pPr>
      <w:r>
        <w:rPr>
          <w:rFonts w:hint="eastAsia" w:ascii="宋体" w:hAnsi="宋体" w:cs="宋体"/>
          <w:color w:val="000000"/>
          <w:sz w:val="24"/>
        </w:rPr>
        <w:t>如甲方因需求修改要求工程师现场维护的，乙方应在24小时内予以回应，给出具体解决方案和时间表，经甲方批准后，遵照方案、时间表及本合同约定执行。</w:t>
      </w:r>
    </w:p>
    <w:p>
      <w:pPr>
        <w:numPr>
          <w:ilvl w:val="0"/>
          <w:numId w:val="0"/>
        </w:num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9</w:t>
      </w:r>
      <w:r>
        <w:rPr>
          <w:rFonts w:hint="eastAsia" w:ascii="宋体" w:hAnsi="宋体" w:cs="宋体"/>
          <w:b/>
          <w:bCs/>
          <w:color w:val="000000"/>
          <w:sz w:val="24"/>
        </w:rPr>
        <w:t>）文档管理：</w:t>
      </w:r>
      <w:r>
        <w:rPr>
          <w:rFonts w:hint="eastAsia" w:ascii="宋体" w:hAnsi="宋体" w:cs="宋体"/>
          <w:color w:val="000000"/>
          <w:sz w:val="24"/>
        </w:rPr>
        <w:t>提供和完善相关服务工作文档（软件更新的内容说明和常见问题的解决方法说明）。</w:t>
      </w:r>
    </w:p>
    <w:p>
      <w:pPr>
        <w:numPr>
          <w:ilvl w:val="0"/>
          <w:numId w:val="0"/>
        </w:numPr>
        <w:spacing w:line="360" w:lineRule="auto"/>
        <w:ind w:firstLine="482" w:firstLineChars="200"/>
        <w:rPr>
          <w:rFonts w:hint="eastAsia" w:ascii="宋体" w:hAnsi="宋体" w:cs="宋体"/>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10</w:t>
      </w:r>
      <w:r>
        <w:rPr>
          <w:rFonts w:hint="eastAsia" w:ascii="宋体" w:hAnsi="宋体" w:cs="宋体"/>
          <w:b/>
          <w:bCs/>
          <w:color w:val="000000"/>
          <w:sz w:val="24"/>
        </w:rPr>
        <w:t>）</w:t>
      </w:r>
      <w:r>
        <w:rPr>
          <w:rFonts w:hint="eastAsia" w:ascii="宋体" w:hAnsi="宋体" w:cs="宋体"/>
          <w:b/>
          <w:bCs/>
          <w:color w:val="000000"/>
          <w:sz w:val="24"/>
          <w:lang w:val="en-US" w:eastAsia="zh-CN"/>
        </w:rPr>
        <w:t>原厂授权</w:t>
      </w:r>
      <w:r>
        <w:rPr>
          <w:rFonts w:hint="eastAsia" w:ascii="宋体" w:hAnsi="宋体" w:cs="宋体"/>
          <w:color w:val="000000"/>
          <w:sz w:val="24"/>
          <w:lang w:val="en-US" w:eastAsia="zh-CN"/>
        </w:rPr>
        <w:t>：参与的公司必须有原厂的资格授权。</w:t>
      </w:r>
    </w:p>
    <w:p>
      <w:pPr>
        <w:numPr>
          <w:ilvl w:val="0"/>
          <w:numId w:val="0"/>
        </w:numPr>
        <w:spacing w:line="360" w:lineRule="auto"/>
        <w:ind w:firstLine="482" w:firstLineChars="200"/>
        <w:rPr>
          <w:rFonts w:hint="eastAsia" w:ascii="宋体" w:hAnsi="宋体" w:eastAsia="宋体" w:cs="宋体"/>
          <w:b/>
          <w:bCs/>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11</w:t>
      </w:r>
      <w:r>
        <w:rPr>
          <w:rFonts w:hint="eastAsia" w:ascii="宋体" w:hAnsi="宋体" w:cs="宋体"/>
          <w:b/>
          <w:bCs/>
          <w:color w:val="000000"/>
          <w:sz w:val="24"/>
        </w:rPr>
        <w:t>）</w:t>
      </w:r>
      <w:r>
        <w:rPr>
          <w:rFonts w:hint="eastAsia" w:ascii="宋体" w:hAnsi="宋体" w:eastAsia="宋体" w:cs="宋体"/>
          <w:b/>
          <w:bCs/>
          <w:color w:val="000000"/>
          <w:sz w:val="24"/>
        </w:rPr>
        <w:t>合同履行期限：</w:t>
      </w:r>
      <w:r>
        <w:rPr>
          <w:rFonts w:hint="eastAsia" w:ascii="宋体" w:hAnsi="宋体" w:cs="宋体"/>
          <w:color w:val="000000"/>
          <w:sz w:val="24"/>
          <w:lang w:val="en-US" w:eastAsia="zh-CN"/>
        </w:rPr>
        <w:t>自签订合同起，期限1年。</w:t>
      </w:r>
    </w:p>
    <w:p>
      <w:pPr>
        <w:numPr>
          <w:ilvl w:val="0"/>
          <w:numId w:val="0"/>
        </w:numPr>
        <w:spacing w:line="360" w:lineRule="auto"/>
        <w:ind w:firstLine="482" w:firstLineChars="200"/>
        <w:rPr>
          <w:rFonts w:hint="eastAsia" w:ascii="宋体" w:hAnsi="宋体" w:eastAsia="宋体" w:cs="宋体"/>
          <w:b/>
          <w:bCs/>
          <w:color w:val="000000"/>
          <w:sz w:val="24"/>
        </w:rPr>
      </w:pPr>
      <w:r>
        <w:rPr>
          <w:rFonts w:hint="eastAsia" w:ascii="宋体" w:hAnsi="宋体" w:cs="宋体"/>
          <w:b/>
          <w:bCs/>
          <w:color w:val="000000"/>
          <w:sz w:val="24"/>
        </w:rPr>
        <w:t>（</w:t>
      </w:r>
      <w:r>
        <w:rPr>
          <w:rFonts w:hint="eastAsia" w:ascii="宋体" w:hAnsi="宋体" w:cs="宋体"/>
          <w:b/>
          <w:bCs/>
          <w:color w:val="000000"/>
          <w:sz w:val="24"/>
          <w:lang w:val="en-US" w:eastAsia="zh-CN"/>
        </w:rPr>
        <w:t>12</w:t>
      </w:r>
      <w:r>
        <w:rPr>
          <w:rFonts w:hint="eastAsia" w:ascii="宋体" w:hAnsi="宋体" w:cs="宋体"/>
          <w:b/>
          <w:bCs/>
          <w:color w:val="000000"/>
          <w:sz w:val="24"/>
        </w:rPr>
        <w:t>）</w:t>
      </w:r>
      <w:r>
        <w:rPr>
          <w:rFonts w:hint="eastAsia" w:ascii="宋体" w:hAnsi="宋体" w:eastAsia="宋体" w:cs="宋体"/>
          <w:b/>
          <w:bCs/>
          <w:color w:val="000000"/>
          <w:sz w:val="24"/>
        </w:rPr>
        <w:t>本项目不接受联合体投标。</w:t>
      </w:r>
    </w:p>
    <w:p>
      <w:pPr>
        <w:pStyle w:val="8"/>
        <w:rPr>
          <w:rFonts w:hint="eastAsia"/>
        </w:rPr>
      </w:pPr>
    </w:p>
    <w:p>
      <w:pPr>
        <w:spacing w:line="360" w:lineRule="auto"/>
        <w:ind w:firstLine="422" w:firstLineChars="200"/>
        <w:rPr>
          <w:rFonts w:hint="default" w:asciiTheme="minorEastAsia" w:hAnsiTheme="minorEastAsia"/>
          <w:b/>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iZGU5MzFmMWM2ZmEyYmVlYjhkODAzYTJjYzY3YjcifQ=="/>
  </w:docVars>
  <w:rsids>
    <w:rsidRoot w:val="002942BE"/>
    <w:rsid w:val="000959FF"/>
    <w:rsid w:val="000C5E14"/>
    <w:rsid w:val="00110B3C"/>
    <w:rsid w:val="00155448"/>
    <w:rsid w:val="002942BE"/>
    <w:rsid w:val="0034475E"/>
    <w:rsid w:val="00455151"/>
    <w:rsid w:val="006F3306"/>
    <w:rsid w:val="00842849"/>
    <w:rsid w:val="00C51EE1"/>
    <w:rsid w:val="00D8276F"/>
    <w:rsid w:val="00F649BB"/>
    <w:rsid w:val="029323D3"/>
    <w:rsid w:val="04271D68"/>
    <w:rsid w:val="09623C29"/>
    <w:rsid w:val="17082361"/>
    <w:rsid w:val="19191920"/>
    <w:rsid w:val="29C40029"/>
    <w:rsid w:val="5E715F87"/>
    <w:rsid w:val="689E42BA"/>
    <w:rsid w:val="7030449B"/>
    <w:rsid w:val="73E219E4"/>
    <w:rsid w:val="7A472B60"/>
    <w:rsid w:val="7ECC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正文首行缩进 21"/>
    <w:basedOn w:val="9"/>
    <w:qFormat/>
    <w:uiPriority w:val="0"/>
    <w:pPr>
      <w:spacing w:line="360" w:lineRule="auto"/>
      <w:ind w:firstLine="420"/>
    </w:pPr>
    <w:rPr>
      <w:rFonts w:ascii="宋体" w:hAnsi="宋体" w:eastAsia="宋体"/>
      <w:sz w:val="21"/>
      <w:szCs w:val="20"/>
    </w:rPr>
  </w:style>
  <w:style w:type="paragraph" w:customStyle="1" w:styleId="9">
    <w:name w:val="正文文本缩进1"/>
    <w:basedOn w:val="1"/>
    <w:next w:val="10"/>
    <w:qFormat/>
    <w:uiPriority w:val="0"/>
    <w:pPr>
      <w:ind w:firstLine="645"/>
    </w:pPr>
    <w:rPr>
      <w:rFonts w:ascii="楷体_GB2312" w:eastAsia="楷体_GB2312"/>
      <w:sz w:val="32"/>
      <w:szCs w:val="32"/>
    </w:rPr>
  </w:style>
  <w:style w:type="paragraph" w:customStyle="1" w:styleId="10">
    <w:name w:val="寄信人地址1"/>
    <w:basedOn w:val="1"/>
    <w:unhideWhenUsed/>
    <w:qFormat/>
    <w:uiPriority w:val="99"/>
    <w:rPr>
      <w:rFonts w:ascii="Arial" w:hAnsi="Arial"/>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
    <w:name w:val="样式1"/>
    <w:basedOn w:val="1"/>
    <w:qFormat/>
    <w:uiPriority w:val="0"/>
    <w:pPr>
      <w:spacing w:before="60" w:after="60" w:line="220" w:lineRule="exact"/>
      <w:textAlignment w:val="top"/>
    </w:pPr>
    <w:rPr>
      <w:rFonts w:ascii="Verdana" w:hAnsi="Verdana" w:eastAsia="黑体"/>
      <w:sz w:val="19"/>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5961</Words>
  <Characters>6066</Characters>
  <Lines>6</Lines>
  <Paragraphs>1</Paragraphs>
  <TotalTime>1</TotalTime>
  <ScaleCrop>false</ScaleCrop>
  <LinksUpToDate>false</LinksUpToDate>
  <CharactersWithSpaces>6068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2020-12-31T06:22:00Z</dcterms:created>
  <dc:creator>M0828</dc:creator>
  <cp:lastModifiedBy>zbb</cp:lastModifiedBy>
  <dcterms:modified xsi:type="dcterms:W3CDTF">2024-05-28T00:56:51Z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C50CCCC48B2A4A8DA1C9042010E45A61_13</vt:lpwstr>
  </property>
</Properties>
</file>