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设备名称：医用空气压缩机组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6C8F59E7">
      <w:pPr>
        <w:numPr>
          <w:ilvl w:val="0"/>
          <w:numId w:val="0"/>
        </w:numPr>
        <w:spacing w:line="360" w:lineRule="auto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医用</w:t>
      </w:r>
      <w:r>
        <w:rPr>
          <w:rFonts w:hint="eastAsia"/>
          <w:b w:val="0"/>
          <w:bCs/>
          <w:sz w:val="24"/>
          <w:szCs w:val="24"/>
          <w:lang w:val="en-US" w:eastAsia="zh-CN"/>
        </w:rPr>
        <w:t>空气压缩机组包含空压机系统、空气干燥机系统</w:t>
      </w:r>
      <w:r>
        <w:rPr>
          <w:b w:val="0"/>
          <w:bCs/>
          <w:sz w:val="24"/>
          <w:szCs w:val="24"/>
        </w:rPr>
        <w:t>主要配置</w:t>
      </w:r>
      <w:r>
        <w:rPr>
          <w:rFonts w:hint="eastAsia"/>
          <w:b w:val="0"/>
          <w:bCs/>
          <w:sz w:val="24"/>
          <w:szCs w:val="24"/>
        </w:rPr>
        <w:t>技术要求</w:t>
      </w:r>
    </w:p>
    <w:tbl>
      <w:tblPr>
        <w:tblStyle w:val="8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96"/>
        <w:gridCol w:w="777"/>
        <w:gridCol w:w="6297"/>
      </w:tblGrid>
      <w:tr w14:paraId="7538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591" w:type="dxa"/>
            <w:noWrap w:val="0"/>
            <w:vAlign w:val="center"/>
          </w:tcPr>
          <w:p w14:paraId="4060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/>
                <w:sz w:val="21"/>
                <w:szCs w:val="21"/>
              </w:rPr>
              <w:t>序号</w:t>
            </w:r>
          </w:p>
        </w:tc>
        <w:tc>
          <w:tcPr>
            <w:tcW w:w="1396" w:type="dxa"/>
            <w:noWrap w:val="0"/>
            <w:vAlign w:val="center"/>
          </w:tcPr>
          <w:p w14:paraId="2216C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   称</w:t>
            </w:r>
          </w:p>
        </w:tc>
        <w:tc>
          <w:tcPr>
            <w:tcW w:w="777" w:type="dxa"/>
            <w:noWrap w:val="0"/>
            <w:vAlign w:val="center"/>
          </w:tcPr>
          <w:p w14:paraId="68BC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6297" w:type="dxa"/>
            <w:noWrap w:val="0"/>
            <w:vAlign w:val="center"/>
          </w:tcPr>
          <w:p w14:paraId="135C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技术要求</w:t>
            </w:r>
          </w:p>
        </w:tc>
      </w:tr>
      <w:tr w14:paraId="2233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1" w:type="dxa"/>
            <w:noWrap w:val="0"/>
            <w:vAlign w:val="center"/>
          </w:tcPr>
          <w:p w14:paraId="3E15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noWrap w:val="0"/>
            <w:vAlign w:val="center"/>
          </w:tcPr>
          <w:p w14:paraId="3502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空压机系统</w:t>
            </w:r>
          </w:p>
        </w:tc>
        <w:tc>
          <w:tcPr>
            <w:tcW w:w="777" w:type="dxa"/>
            <w:noWrap w:val="0"/>
            <w:vAlign w:val="center"/>
          </w:tcPr>
          <w:p w14:paraId="24975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6297" w:type="dxa"/>
            <w:noWrap w:val="0"/>
            <w:vAlign w:val="center"/>
          </w:tcPr>
          <w:p w14:paraId="6C104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压缩空气排量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2.4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Nm3/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min。</w:t>
            </w:r>
          </w:p>
          <w:p w14:paraId="5146C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气体出口含油等级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0级（无油认证）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60877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噪音：≤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dB（A）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4350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4.功率：≦25KW。</w:t>
            </w:r>
          </w:p>
          <w:p w14:paraId="5250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具有超载、高温、超压自动报警停机的保护功能；具有压力、温度、时间、故障等数据显示功能，能自动检测并记录历史故障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29AC0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采用多机头模块化组成，可以根据用户用气量实时调节多个机头的开/停组合，从而实现“用多少气，产多少气，耗多少电”的节能效果。</w:t>
            </w:r>
          </w:p>
          <w:p w14:paraId="2BF9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7、整机运行时能根据用气需求控制机头轮换工作，当一个主机模块因故障停止运行时，不能影响其它模块正常使用。</w:t>
            </w:r>
          </w:p>
          <w:p w14:paraId="7B09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8.机组具备断电后来电自启功能，确保意外断电时可自行恢复供气。</w:t>
            </w:r>
          </w:p>
          <w:p w14:paraId="0CD8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3E6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91" w:type="dxa"/>
            <w:noWrap w:val="0"/>
            <w:vAlign w:val="center"/>
          </w:tcPr>
          <w:p w14:paraId="1951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 w14:paraId="5360F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空气干燥机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777" w:type="dxa"/>
            <w:noWrap w:val="0"/>
            <w:vAlign w:val="center"/>
          </w:tcPr>
          <w:p w14:paraId="3386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6297" w:type="dxa"/>
            <w:noWrap w:val="0"/>
            <w:vAlign w:val="center"/>
          </w:tcPr>
          <w:p w14:paraId="7C67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621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1.干燥机单台处理气量：≥6.0m³/min；</w:t>
            </w:r>
          </w:p>
          <w:p w14:paraId="7579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2.输出压力：0.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-0.8MPa（可调）</w:t>
            </w:r>
          </w:p>
          <w:p w14:paraId="4A54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3.水分含量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575mg/Nm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（露点）≤-5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℃；。</w:t>
            </w:r>
          </w:p>
          <w:p w14:paraId="4E1E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4.一氧化碳含量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&lt;5x10-6V/V。</w:t>
            </w:r>
          </w:p>
          <w:p w14:paraId="19F7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5.二氧化碳含量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≤500x10°V/V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42B9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6.气态酸性物质和碱性物质含量按GB8982-2009 中5.4规定的方法检验应合格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72C4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7.臭氧及其他气态氧化物含量按GB8982-2009中5.5规定的方法检验应合格</w:t>
            </w:r>
          </w:p>
          <w:p w14:paraId="3E63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8.气味∶无异味</w:t>
            </w:r>
          </w:p>
          <w:p w14:paraId="69A9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.具备远程数据监控功能，可通过电脑或者手机下载APP操作，监控设备运行。（提供制造商软件著作权登记证书）</w:t>
            </w:r>
          </w:p>
          <w:p w14:paraId="3D55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.电磁兼容性能符合YY 9706.102-2021 《医用电气设备 第1-2部分：基本安全和基本性能的通用要求 并列标准：电磁兼容要求和试验》标准。(提供第三方出具的检验合格报告)</w:t>
            </w:r>
          </w:p>
          <w:p w14:paraId="37AA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.机组具备断电后来电自启功能，确保意外断电时可自行恢复供气，且可自由切换自动或手动模式。</w:t>
            </w:r>
          </w:p>
          <w:p w14:paraId="06FA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12.机组具有自动排水功能，无需手动进行排水。</w:t>
            </w:r>
          </w:p>
          <w:p w14:paraId="61AC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触摸屏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PLC控制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一体机，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具有断电、缺相、反相等保护功能，出现故障时提供声光报警；</w:t>
            </w:r>
          </w:p>
          <w:p w14:paraId="773D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空气压缩机组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进行自动化控制，并对现场运行数据进行采集和显示设备运行状态（显示内容应包含压力等）（提供证明材料）</w:t>
            </w:r>
          </w:p>
        </w:tc>
      </w:tr>
    </w:tbl>
    <w:p w14:paraId="267D1513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6751C0A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45722A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1030</Characters>
  <Lines>18</Lines>
  <Paragraphs>5</Paragraphs>
  <TotalTime>1</TotalTime>
  <ScaleCrop>false</ScaleCrop>
  <LinksUpToDate>false</LinksUpToDate>
  <CharactersWithSpaces>1049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2024-09-09T00:35:48Z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