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设备名称：全自动精子质量分析仪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233FD85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 全自动扫描分析：具备显微镜载物平台X、Y电动控制自动扫描功能、显微镜Z电动控制自动对焦功能。</w:t>
      </w:r>
    </w:p>
    <w:p w14:paraId="65BF742E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 扫描通量</w:t>
      </w:r>
      <w:r>
        <w:rPr>
          <w:rFonts w:hint="eastAsia" w:ascii="宋体" w:hAnsi="宋体" w:cs="宋体"/>
          <w:kern w:val="0"/>
          <w:szCs w:val="21"/>
        </w:rPr>
        <w:t>（扫描通量需提供医疗器械产品注册检测检验报告）</w:t>
      </w:r>
    </w:p>
    <w:p w14:paraId="7192C1F0">
      <w:pPr>
        <w:spacing w:line="24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（1）动态学分析：一次性可连续扫描分析≥5张精子计数池，可连续分析≥20-40个测试；</w:t>
      </w:r>
    </w:p>
    <w:p w14:paraId="0133B44A">
      <w:pPr>
        <w:spacing w:line="24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（2）形态学分析：一次性可连续扫描分析≥5张形态玻片，可连续分析≥5-10个测试；</w:t>
      </w:r>
    </w:p>
    <w:p w14:paraId="11CA48CE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（3）精子DNA碎片分析：一次性可连续扫描分析≥5张DNA碎片玻片，可连续分析≥10个测试。</w:t>
      </w:r>
    </w:p>
    <w:p w14:paraId="3119BDA0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3. </w:t>
      </w:r>
      <w:r>
        <w:rPr>
          <w:rFonts w:hint="eastAsia" w:ascii="宋体" w:hAnsi="宋体" w:cs="宋体"/>
          <w:szCs w:val="21"/>
        </w:rPr>
        <w:t>自动聚焦扫描时，精子静态图像清晰率≥98</w:t>
      </w:r>
      <w:r>
        <w:rPr>
          <w:rFonts w:hint="eastAsia" w:ascii="宋体" w:hAnsi="宋体" w:cs="宋体"/>
          <w:kern w:val="0"/>
          <w:szCs w:val="21"/>
        </w:rPr>
        <w:t>%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</w:t>
      </w:r>
      <w:r>
        <w:rPr>
          <w:rFonts w:hint="eastAsia" w:ascii="宋体" w:hAnsi="宋体" w:cs="宋体"/>
          <w:bCs/>
          <w:szCs w:val="21"/>
        </w:rPr>
        <w:t>）</w:t>
      </w:r>
    </w:p>
    <w:p w14:paraId="3B7631AB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 w:hAnsi="宋体" w:cs="宋体"/>
          <w:bCs/>
          <w:szCs w:val="21"/>
        </w:rPr>
        <w:t xml:space="preserve"> 浓度、活力动态检测模块</w:t>
      </w:r>
      <w:r>
        <w:rPr>
          <w:rFonts w:hint="eastAsia" w:ascii="宋体" w:hAnsi="宋体" w:cs="宋体"/>
          <w:bCs/>
          <w:szCs w:val="21"/>
          <w:lang w:val="en-US" w:eastAsia="zh-CN"/>
        </w:rPr>
        <w:t>至少</w:t>
      </w:r>
      <w:r>
        <w:rPr>
          <w:rFonts w:hint="eastAsia" w:ascii="宋体" w:hAnsi="宋体" w:cs="宋体"/>
          <w:bCs/>
          <w:szCs w:val="21"/>
        </w:rPr>
        <w:t>具备相差版与灰度版分析功能。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</w:t>
      </w:r>
      <w:r>
        <w:rPr>
          <w:rFonts w:hint="eastAsia" w:ascii="宋体" w:hAnsi="宋体" w:cs="宋体"/>
          <w:bCs/>
          <w:szCs w:val="21"/>
        </w:rPr>
        <w:t>）</w:t>
      </w:r>
    </w:p>
    <w:p w14:paraId="206904F4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 动态学自动分析项目</w:t>
      </w:r>
      <w:r>
        <w:rPr>
          <w:rFonts w:hint="eastAsia" w:ascii="宋体" w:hAnsi="宋体" w:cs="宋体"/>
          <w:bCs/>
          <w:szCs w:val="21"/>
          <w:lang w:val="en-US" w:eastAsia="zh-CN"/>
        </w:rPr>
        <w:t>至少包括</w:t>
      </w:r>
      <w:r>
        <w:rPr>
          <w:rFonts w:hint="eastAsia" w:ascii="宋体" w:hAnsi="宋体" w:cs="宋体"/>
          <w:bCs/>
          <w:szCs w:val="21"/>
        </w:rPr>
        <w:t>：检测精子总数、密度/浓度、每个速度分级的数据（个数、比例、浓度、精子总数）、精子总活力、平均曲线速度、平均直线速度、平均路径速度、侧摆幅值、鞭打频率、平均角度、快速直线个数、快速直线浓度、快速直线活率、直线性、摆动性、前向性。</w:t>
      </w:r>
    </w:p>
    <w:p w14:paraId="5A8C9CE2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 具备形态学自动分析功能，</w:t>
      </w:r>
      <w:r>
        <w:rPr>
          <w:rFonts w:hint="eastAsia" w:ascii="宋体" w:hAnsi="宋体" w:cs="宋体"/>
          <w:bCs/>
          <w:szCs w:val="21"/>
          <w:lang w:val="en-US" w:eastAsia="zh-CN"/>
        </w:rPr>
        <w:t>至少</w:t>
      </w:r>
      <w:r>
        <w:rPr>
          <w:rFonts w:hint="eastAsia" w:ascii="宋体" w:hAnsi="宋体" w:cs="宋体"/>
          <w:bCs/>
          <w:szCs w:val="21"/>
        </w:rPr>
        <w:t>可识别分析正常、头部、中段、尾部（主段）、过量残留胞浆形态。</w:t>
      </w:r>
    </w:p>
    <w:p w14:paraId="7C3772B7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 具备精子DNA碎片分析功能，可识别分析精子DNA碎片的正常比例和异常比例。</w:t>
      </w:r>
    </w:p>
    <w:p w14:paraId="0C1EFB8E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8. 具备尾部识别功能，可对杂质、圆细胞、上皮细胞等非精子细胞进行自动过滤，精子凝集度自动识别和过滤功能。</w:t>
      </w:r>
    </w:p>
    <w:p w14:paraId="02494BEC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9.可任意切换世界卫生组织人类精液检查与处理实验室手册第四版、第五版和第六版的标准。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（需提供医疗器械产品注册检测检验报告）</w:t>
      </w:r>
    </w:p>
    <w:p w14:paraId="68DD9278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10</w:t>
      </w:r>
      <w:r>
        <w:rPr>
          <w:rFonts w:hint="eastAsia" w:ascii="宋体" w:hAnsi="宋体" w:cs="宋体"/>
          <w:szCs w:val="21"/>
        </w:rPr>
        <w:t>.精子动力学分析模块</w:t>
      </w:r>
      <w:r>
        <w:rPr>
          <w:rFonts w:hint="eastAsia" w:ascii="宋体" w:hAnsi="宋体" w:cs="宋体"/>
          <w:kern w:val="0"/>
          <w:szCs w:val="21"/>
        </w:rPr>
        <w:t>（符合率需提供医疗器械产品注册检测检验报告）</w:t>
      </w:r>
    </w:p>
    <w:p w14:paraId="0E75B94F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（1）精子前向运动PR符合率≥96%；</w:t>
      </w:r>
    </w:p>
    <w:p w14:paraId="47FB80CE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（2）精子非前向运动NP符合率≥95%；</w:t>
      </w:r>
    </w:p>
    <w:p w14:paraId="104C3C74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（3）精子不活动IM符合率≥98%。</w:t>
      </w:r>
    </w:p>
    <w:p w14:paraId="7ADE5A15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11. 精子形态学分析模块</w:t>
      </w:r>
      <w:r>
        <w:rPr>
          <w:rFonts w:hint="eastAsia" w:ascii="宋体" w:hAnsi="宋体" w:cs="宋体"/>
          <w:kern w:val="0"/>
          <w:szCs w:val="21"/>
        </w:rPr>
        <w:t>（符合率需提供医疗器械产品注册检测检验报告）</w:t>
      </w:r>
    </w:p>
    <w:p w14:paraId="6D4DD6ED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（1）正常精子分析符合率≥98%；</w:t>
      </w:r>
    </w:p>
    <w:p w14:paraId="43EE7A70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（2）异常精子分析符合率≥97%；</w:t>
      </w:r>
    </w:p>
    <w:p w14:paraId="71705758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（3）精子形态识别符合率≥96%。</w:t>
      </w:r>
    </w:p>
    <w:p w14:paraId="1B9EC1E6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12.杂质误认率：分析仪识别杂质的误认率≤3%。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（需提供医疗器械产品注册检测检验报告）</w:t>
      </w:r>
    </w:p>
    <w:p w14:paraId="44A7005A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13.精子个数的捕捉准确率误差≤2%，可采集的视野数范围为1～600组。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（需提供医疗器械产品注册检测检验报告）</w:t>
      </w:r>
    </w:p>
    <w:p w14:paraId="3C915AE4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14. 产品注册技术要求中</w:t>
      </w:r>
      <w:r>
        <w:rPr>
          <w:rFonts w:hint="eastAsia" w:ascii="宋体" w:hAnsi="宋体" w:cs="宋体"/>
          <w:kern w:val="0"/>
          <w:szCs w:val="21"/>
        </w:rPr>
        <w:t>采集分析时间≤1秒。（需提供医疗器械产品注册检测检验报告）</w:t>
      </w:r>
    </w:p>
    <w:p w14:paraId="1BB591DF">
      <w:pPr>
        <w:spacing w:line="24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szCs w:val="21"/>
        </w:rPr>
        <w:t>15. 浓度分析准确度：对已知浓度的微粒测试液进行分析，检测结果相对偏差应在±5%范围内。</w:t>
      </w:r>
      <w:r>
        <w:rPr>
          <w:rFonts w:hint="eastAsia" w:ascii="宋体" w:hAnsi="宋体" w:cs="宋体"/>
          <w:kern w:val="0"/>
          <w:szCs w:val="21"/>
        </w:rPr>
        <w:t>（需提供医疗器械产品注册检测检验报告）</w:t>
      </w:r>
    </w:p>
    <w:p w14:paraId="53E5230E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16. 重复性</w:t>
      </w:r>
      <w:r>
        <w:rPr>
          <w:rFonts w:hint="eastAsia" w:ascii="宋体" w:hAnsi="宋体" w:cs="宋体"/>
          <w:kern w:val="0"/>
          <w:szCs w:val="21"/>
        </w:rPr>
        <w:t>（需提供医疗器械注册检测检验报告）</w:t>
      </w:r>
    </w:p>
    <w:p w14:paraId="042994FF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（1）分析仪进行浓度分析， 检测结果的变异系数CV值≤6%；</w:t>
      </w:r>
    </w:p>
    <w:p w14:paraId="77B9701A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（2）分析仪进行总活力分析， 检测结果的变异系数CV值≤6%。 </w:t>
      </w:r>
    </w:p>
    <w:p w14:paraId="155E0857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17. 稳定性</w:t>
      </w:r>
      <w:r>
        <w:rPr>
          <w:rFonts w:hint="eastAsia" w:ascii="宋体" w:hAnsi="宋体" w:cs="宋体"/>
          <w:kern w:val="0"/>
          <w:szCs w:val="21"/>
        </w:rPr>
        <w:t>（需提供医疗器械注册检测检验报告）</w:t>
      </w:r>
    </w:p>
    <w:p w14:paraId="740B95B8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（1）开机8小时内，分析仪进行浓度分析，检测结果的变异系数（CV,%）≤6%；</w:t>
      </w:r>
    </w:p>
    <w:p w14:paraId="295C892F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（2）开机8小时内，分析仪进行形态分析，检测结果的变异系数（CV,%）≤6%；</w:t>
      </w:r>
    </w:p>
    <w:p w14:paraId="3B3664E8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（3）开机8小时内，分析仪进行精子DNA碎片分析，检测结果的变异系数（CV,%）≤6%。</w:t>
      </w:r>
    </w:p>
    <w:p w14:paraId="46CB56F4">
      <w:pPr>
        <w:spacing w:line="24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二、硬件参数：</w:t>
      </w:r>
    </w:p>
    <w:p w14:paraId="7950C6B4">
      <w:pPr>
        <w:spacing w:line="24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1. 显微图像扫描功能模块：</w:t>
      </w:r>
      <w:r>
        <w:rPr>
          <w:rFonts w:hint="eastAsia" w:ascii="宋体" w:hAnsi="宋体" w:cs="宋体"/>
          <w:bCs/>
          <w:szCs w:val="21"/>
        </w:rPr>
        <w:t>具有显微镜载物平台X、Y电动控制自动扫描功能、具有显微镜Z电动控制自动对焦功能，</w:t>
      </w:r>
      <w:r>
        <w:rPr>
          <w:rFonts w:hint="eastAsia" w:ascii="宋体" w:hAnsi="宋体"/>
          <w:szCs w:val="21"/>
        </w:rPr>
        <w:t>设备显微镜、恒温系统和全自动扫描控制系统为一体封闭设计。</w:t>
      </w:r>
    </w:p>
    <w:p w14:paraId="38327F98">
      <w:pPr>
        <w:spacing w:line="24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2.具有相差装置电动控制自动切换功能。</w:t>
      </w:r>
      <w:r>
        <w:rPr>
          <w:rFonts w:hint="eastAsia" w:ascii="宋体" w:hAnsi="宋体" w:cs="宋体"/>
          <w:kern w:val="0"/>
          <w:szCs w:val="21"/>
        </w:rPr>
        <w:t>（需提供医疗器械注册检测检验报告）</w:t>
      </w:r>
    </w:p>
    <w:p w14:paraId="23CF79A8">
      <w:pPr>
        <w:spacing w:line="24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3.显微镜自动调光功能、显微镜物镜转换器电动控制自动切换功能。</w:t>
      </w:r>
      <w:r>
        <w:rPr>
          <w:rFonts w:hint="eastAsia" w:ascii="宋体" w:hAnsi="宋体" w:cs="宋体"/>
          <w:kern w:val="0"/>
          <w:szCs w:val="21"/>
        </w:rPr>
        <w:t>（需提供医疗器械注册检测检验报告）</w:t>
      </w:r>
    </w:p>
    <w:p w14:paraId="67A59676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4.具有显微镜电动控制自动滴油功能。</w:t>
      </w:r>
      <w:r>
        <w:rPr>
          <w:rFonts w:hint="eastAsia" w:ascii="宋体" w:hAnsi="宋体" w:cs="宋体"/>
          <w:kern w:val="0"/>
          <w:szCs w:val="21"/>
        </w:rPr>
        <w:t>（需提供医疗器械注册检测检验报告）</w:t>
      </w:r>
    </w:p>
    <w:p w14:paraId="70AD5614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5.摄像机：高清彩色数字摄像机≥175fps（帧/每秒），≥1920×1200高清模式。</w:t>
      </w:r>
    </w:p>
    <w:p w14:paraId="1E5FA279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6.计算机</w:t>
      </w:r>
      <w:r>
        <w:rPr>
          <w:rFonts w:hint="eastAsia" w:ascii="宋体" w:hAnsi="宋体" w:cs="宋体"/>
          <w:bCs/>
          <w:szCs w:val="21"/>
          <w:lang w:val="en-US" w:eastAsia="zh-CN"/>
        </w:rPr>
        <w:t>配置不低于</w:t>
      </w:r>
      <w:r>
        <w:rPr>
          <w:rFonts w:hint="eastAsia" w:ascii="宋体" w:hAnsi="宋体" w:cs="宋体"/>
          <w:bCs/>
          <w:szCs w:val="21"/>
        </w:rPr>
        <w:t>CPU：Intel 酷睿十二代3.3G；内存≥8G DDR4；硬盘：≥1TB。</w:t>
      </w:r>
    </w:p>
    <w:p w14:paraId="21A1DB85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7.显示器：≥27寸，显示分辨率不低于1920×1080。</w:t>
      </w:r>
    </w:p>
    <w:p w14:paraId="31A96B36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8.恒温系统：</w:t>
      </w:r>
      <w:r>
        <w:rPr>
          <w:rFonts w:hint="eastAsia" w:ascii="宋体" w:hAnsi="宋体" w:cs="宋体"/>
          <w:szCs w:val="21"/>
        </w:rPr>
        <w:t>显微镜载物台37℃控温，控温精度为±0.1℃</w:t>
      </w:r>
      <w:r>
        <w:rPr>
          <w:rFonts w:hint="eastAsia" w:ascii="宋体" w:hAnsi="宋体" w:cs="宋体"/>
          <w:bCs/>
          <w:szCs w:val="21"/>
        </w:rPr>
        <w:t>。</w:t>
      </w:r>
    </w:p>
    <w:p w14:paraId="478C8B55">
      <w:pPr>
        <w:spacing w:line="24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9.打印机：彩色打印机。</w:t>
      </w:r>
    </w:p>
    <w:p w14:paraId="6A824BC6">
      <w:pPr>
        <w:spacing w:line="360" w:lineRule="auto"/>
        <w:rPr>
          <w:rFonts w:hint="eastAsia" w:ascii="宋体" w:hAnsi="宋体" w:cs="宋体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  <w:lang w:eastAsia="zh-CN"/>
        </w:rPr>
        <w:t>三、配置要求</w:t>
      </w:r>
      <w:r>
        <w:rPr>
          <w:rFonts w:hint="eastAsia" w:ascii="宋体" w:hAnsi="宋体" w:cs="宋体"/>
          <w:bCs/>
          <w:szCs w:val="21"/>
          <w:lang w:val="en-US" w:eastAsia="zh-CN"/>
        </w:rPr>
        <w:t>至少包括</w:t>
      </w:r>
      <w:r>
        <w:rPr>
          <w:rFonts w:hint="eastAsia" w:ascii="宋体" w:hAnsi="宋体" w:cs="宋体"/>
          <w:bCs/>
          <w:szCs w:val="21"/>
          <w:lang w:eastAsia="zh-CN"/>
        </w:rPr>
        <w:t>：</w:t>
      </w:r>
    </w:p>
    <w:p w14:paraId="0EA3238E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1、全自动扫描模块       1套</w:t>
      </w:r>
    </w:p>
    <w:p w14:paraId="2786C073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2、内置式恒温平台       1套</w:t>
      </w:r>
    </w:p>
    <w:p w14:paraId="4C5D0EBD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3、计算机服务器         1台</w:t>
      </w:r>
    </w:p>
    <w:p w14:paraId="559FAE0E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4、显示器               1台</w:t>
      </w:r>
    </w:p>
    <w:p w14:paraId="2612178A">
      <w:pPr>
        <w:spacing w:line="240" w:lineRule="auto"/>
        <w:rPr>
          <w:rFonts w:hint="default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5、打印机               1台</w:t>
      </w:r>
    </w:p>
    <w:p w14:paraId="2D44B5A9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6、精液常规分析模块      1套</w:t>
      </w:r>
    </w:p>
    <w:p w14:paraId="05637AD2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7、精子形态分析模块      1套</w:t>
      </w:r>
    </w:p>
    <w:p w14:paraId="0DEAFC36">
      <w:pPr>
        <w:spacing w:line="24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8、精子DNA碎片分析模块  1套</w:t>
      </w:r>
    </w:p>
    <w:p w14:paraId="1DA97AF0">
      <w:pPr>
        <w:spacing w:line="240" w:lineRule="auto"/>
        <w:rPr>
          <w:rFonts w:hint="default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9、产品说明书            1套</w:t>
      </w:r>
    </w:p>
    <w:p w14:paraId="75471B3A">
      <w:pPr>
        <w:spacing w:line="36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四、支持扫码，病人信息自动录入，支持HIS/LIS接入。报价含HIS/LIS接口费。</w:t>
      </w:r>
    </w:p>
    <w:p w14:paraId="01D923BA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4E36DB4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071763E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703</Characters>
  <Lines>18</Lines>
  <Paragraphs>5</Paragraphs>
  <TotalTime>0</TotalTime>
  <ScaleCrop>false</ScaleCrop>
  <LinksUpToDate>false</LinksUpToDate>
  <CharactersWithSpaces>712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2025-01-17T02:32:57Z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