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B7598">
      <w:pPr>
        <w:spacing w:line="360" w:lineRule="auto"/>
        <w:jc w:val="center"/>
        <w:rPr>
          <w:rFonts w:hint="eastAsia"/>
        </w:rPr>
      </w:pPr>
      <w:bookmarkStart w:id="0" w:name="OLE_LINK2"/>
      <w:bookmarkStart w:id="1" w:name="OLE_LINK1"/>
      <w:bookmarkStart w:id="2" w:name="_Toc759"/>
      <w:bookmarkStart w:id="3" w:name="_Toc44229895"/>
      <w:bookmarkStart w:id="4" w:name="_Toc25146"/>
      <w:bookmarkStart w:id="5" w:name="_Toc18913"/>
      <w:r>
        <w:rPr>
          <w:rFonts w:hint="eastAsia" w:ascii="宋体" w:hAnsi="宋体" w:cs="宋体"/>
          <w:b/>
          <w:sz w:val="32"/>
          <w:szCs w:val="32"/>
        </w:rPr>
        <w:t>南溪山医院污水处理运维服务</w:t>
      </w:r>
      <w:bookmarkEnd w:id="0"/>
      <w:bookmarkEnd w:id="1"/>
      <w:r>
        <w:rPr>
          <w:rFonts w:hint="eastAsia" w:ascii="宋体" w:hAnsi="宋体" w:cs="宋体"/>
          <w:b/>
          <w:sz w:val="32"/>
          <w:szCs w:val="32"/>
        </w:rPr>
        <w:t>采购需求</w:t>
      </w:r>
      <w:bookmarkEnd w:id="2"/>
      <w:bookmarkEnd w:id="3"/>
      <w:bookmarkEnd w:id="4"/>
      <w:bookmarkEnd w:id="5"/>
    </w:p>
    <w:p w14:paraId="6C795168">
      <w:pPr>
        <w:spacing w:line="440" w:lineRule="exact"/>
        <w:jc w:val="center"/>
        <w:rPr>
          <w:rFonts w:hint="eastAsia" w:ascii="宋体" w:hAnsi="宋体"/>
          <w:b/>
          <w:sz w:val="32"/>
          <w:szCs w:val="32"/>
        </w:rPr>
      </w:pPr>
      <w:r>
        <w:rPr>
          <w:rFonts w:hint="eastAsia" w:ascii="宋体" w:hAnsi="宋体"/>
          <w:b/>
          <w:sz w:val="32"/>
          <w:szCs w:val="32"/>
        </w:rPr>
        <w:t>采购项目技术规格、参数及要求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665"/>
        <w:gridCol w:w="1535"/>
        <w:gridCol w:w="944"/>
        <w:gridCol w:w="5595"/>
      </w:tblGrid>
      <w:tr w14:paraId="24B2F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323" w:type="dxa"/>
            <w:gridSpan w:val="5"/>
            <w:vAlign w:val="center"/>
          </w:tcPr>
          <w:p w14:paraId="34418652">
            <w:pPr>
              <w:snapToGrid w:val="0"/>
              <w:spacing w:line="360" w:lineRule="auto"/>
              <w:rPr>
                <w:rFonts w:hint="eastAsia" w:ascii="宋体" w:hAnsi="宋体" w:cs="宋体"/>
                <w:b/>
                <w:bCs/>
                <w:szCs w:val="21"/>
              </w:rPr>
            </w:pPr>
            <w:r>
              <w:rPr>
                <w:rFonts w:hint="eastAsia" w:ascii="宋体" w:hAnsi="宋体" w:cs="宋体"/>
                <w:b/>
                <w:bCs/>
                <w:szCs w:val="21"/>
              </w:rPr>
              <w:t>一、项目要求及服务需求</w:t>
            </w:r>
          </w:p>
        </w:tc>
      </w:tr>
      <w:tr w14:paraId="70559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584" w:type="dxa"/>
            <w:vAlign w:val="center"/>
          </w:tcPr>
          <w:p w14:paraId="110DC05B">
            <w:pPr>
              <w:snapToGrid w:val="0"/>
              <w:spacing w:line="360" w:lineRule="auto"/>
              <w:jc w:val="center"/>
              <w:rPr>
                <w:rFonts w:hint="eastAsia" w:ascii="宋体" w:hAnsi="宋体" w:cs="宋体"/>
                <w:b/>
                <w:szCs w:val="21"/>
              </w:rPr>
            </w:pPr>
            <w:r>
              <w:rPr>
                <w:rFonts w:hint="eastAsia" w:ascii="宋体" w:hAnsi="宋体" w:cs="宋体"/>
                <w:b/>
                <w:szCs w:val="21"/>
              </w:rPr>
              <w:t>项号</w:t>
            </w:r>
          </w:p>
        </w:tc>
        <w:tc>
          <w:tcPr>
            <w:tcW w:w="2200" w:type="dxa"/>
            <w:gridSpan w:val="2"/>
            <w:vAlign w:val="center"/>
          </w:tcPr>
          <w:p w14:paraId="7F4D1F56">
            <w:pPr>
              <w:snapToGrid w:val="0"/>
              <w:spacing w:line="360" w:lineRule="auto"/>
              <w:jc w:val="center"/>
              <w:rPr>
                <w:rFonts w:hint="eastAsia" w:ascii="宋体" w:hAnsi="宋体" w:cs="宋体"/>
                <w:b/>
                <w:szCs w:val="21"/>
              </w:rPr>
            </w:pPr>
            <w:r>
              <w:rPr>
                <w:rFonts w:hint="eastAsia" w:ascii="宋体" w:hAnsi="宋体" w:cs="宋体"/>
                <w:b/>
                <w:szCs w:val="21"/>
              </w:rPr>
              <w:t>采购内容</w:t>
            </w:r>
          </w:p>
        </w:tc>
        <w:tc>
          <w:tcPr>
            <w:tcW w:w="944" w:type="dxa"/>
            <w:vAlign w:val="center"/>
          </w:tcPr>
          <w:p w14:paraId="41665ADC">
            <w:pPr>
              <w:snapToGrid w:val="0"/>
              <w:spacing w:line="360" w:lineRule="auto"/>
              <w:jc w:val="center"/>
              <w:rPr>
                <w:rFonts w:hint="eastAsia" w:ascii="宋体" w:hAnsi="宋体" w:cs="宋体"/>
                <w:b/>
                <w:szCs w:val="21"/>
              </w:rPr>
            </w:pPr>
            <w:r>
              <w:rPr>
                <w:rFonts w:hint="eastAsia" w:ascii="宋体" w:hAnsi="宋体" w:cs="宋体"/>
                <w:b/>
                <w:szCs w:val="21"/>
              </w:rPr>
              <w:t>单位及数量</w:t>
            </w:r>
          </w:p>
        </w:tc>
        <w:tc>
          <w:tcPr>
            <w:tcW w:w="5595" w:type="dxa"/>
            <w:vAlign w:val="center"/>
          </w:tcPr>
          <w:p w14:paraId="73BC6AEC">
            <w:pPr>
              <w:snapToGrid w:val="0"/>
              <w:spacing w:line="360" w:lineRule="auto"/>
              <w:jc w:val="center"/>
              <w:rPr>
                <w:rFonts w:hint="eastAsia" w:ascii="宋体" w:hAnsi="宋体" w:cs="宋体"/>
                <w:b/>
                <w:szCs w:val="21"/>
              </w:rPr>
            </w:pPr>
            <w:r>
              <w:rPr>
                <w:rFonts w:hint="eastAsia" w:ascii="宋体" w:hAnsi="宋体" w:cs="宋体"/>
                <w:b/>
                <w:szCs w:val="21"/>
              </w:rPr>
              <w:t>服务需求</w:t>
            </w:r>
          </w:p>
        </w:tc>
      </w:tr>
      <w:tr w14:paraId="56547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84" w:type="dxa"/>
            <w:vAlign w:val="center"/>
          </w:tcPr>
          <w:p w14:paraId="260F4D36">
            <w:pPr>
              <w:snapToGrid w:val="0"/>
              <w:spacing w:line="360" w:lineRule="auto"/>
              <w:jc w:val="center"/>
              <w:rPr>
                <w:rFonts w:hint="eastAsia" w:ascii="宋体" w:hAnsi="宋体" w:cs="宋体"/>
                <w:szCs w:val="21"/>
              </w:rPr>
            </w:pPr>
            <w:r>
              <w:rPr>
                <w:rFonts w:hint="eastAsia" w:ascii="宋体" w:hAnsi="宋体" w:cs="宋体"/>
                <w:szCs w:val="21"/>
              </w:rPr>
              <w:t>1</w:t>
            </w:r>
          </w:p>
        </w:tc>
        <w:tc>
          <w:tcPr>
            <w:tcW w:w="2200" w:type="dxa"/>
            <w:gridSpan w:val="2"/>
            <w:vAlign w:val="center"/>
          </w:tcPr>
          <w:p w14:paraId="2BBE71DD">
            <w:pPr>
              <w:snapToGrid w:val="0"/>
              <w:spacing w:line="360" w:lineRule="auto"/>
              <w:rPr>
                <w:rFonts w:hint="eastAsia" w:ascii="宋体" w:hAnsi="宋体" w:cs="宋体"/>
                <w:szCs w:val="21"/>
              </w:rPr>
            </w:pPr>
            <w:r>
              <w:rPr>
                <w:rFonts w:hint="eastAsia" w:ascii="宋体" w:hAnsi="宋体" w:cs="宋体"/>
                <w:szCs w:val="21"/>
              </w:rPr>
              <w:t>广西壮族自治区南溪山医院污水处理系统运营维护服务</w:t>
            </w:r>
          </w:p>
        </w:tc>
        <w:tc>
          <w:tcPr>
            <w:tcW w:w="944" w:type="dxa"/>
            <w:vAlign w:val="center"/>
          </w:tcPr>
          <w:p w14:paraId="769B88CA">
            <w:pPr>
              <w:snapToGrid w:val="0"/>
              <w:spacing w:line="360" w:lineRule="auto"/>
              <w:jc w:val="center"/>
              <w:rPr>
                <w:rFonts w:hint="eastAsia" w:ascii="宋体" w:hAnsi="宋体" w:cs="宋体"/>
                <w:szCs w:val="21"/>
              </w:rPr>
            </w:pPr>
            <w:r>
              <w:rPr>
                <w:rFonts w:hint="eastAsia" w:ascii="宋体" w:hAnsi="宋体" w:cs="宋体"/>
                <w:szCs w:val="21"/>
              </w:rPr>
              <w:t>1</w:t>
            </w:r>
            <w:r>
              <w:rPr>
                <w:rFonts w:hint="eastAsia" w:ascii="宋体" w:hAnsi="宋体" w:cs="宋体"/>
                <w:bCs/>
                <w:szCs w:val="21"/>
              </w:rPr>
              <w:t>项</w:t>
            </w:r>
          </w:p>
        </w:tc>
        <w:tc>
          <w:tcPr>
            <w:tcW w:w="5595" w:type="dxa"/>
            <w:vAlign w:val="center"/>
          </w:tcPr>
          <w:p w14:paraId="747D0814">
            <w:pPr>
              <w:spacing w:line="360" w:lineRule="auto"/>
              <w:jc w:val="left"/>
              <w:rPr>
                <w:rFonts w:hint="eastAsia" w:ascii="宋体" w:hAnsi="宋体" w:cs="宋体"/>
                <w:szCs w:val="21"/>
              </w:rPr>
            </w:pPr>
            <w:r>
              <w:rPr>
                <w:rFonts w:hint="eastAsia" w:ascii="宋体" w:hAnsi="宋体" w:cs="宋体"/>
                <w:kern w:val="0"/>
                <w:szCs w:val="21"/>
              </w:rPr>
              <w:t>广西壮族自治区南溪山医院污水处理运维服务</w:t>
            </w:r>
          </w:p>
        </w:tc>
      </w:tr>
      <w:tr w14:paraId="46E10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2784" w:type="dxa"/>
            <w:gridSpan w:val="3"/>
            <w:vAlign w:val="center"/>
          </w:tcPr>
          <w:p w14:paraId="6F2F2209">
            <w:pPr>
              <w:pStyle w:val="4"/>
              <w:snapToGrid w:val="0"/>
              <w:spacing w:line="360" w:lineRule="auto"/>
              <w:ind w:firstLine="422" w:firstLineChars="200"/>
              <w:jc w:val="center"/>
              <w:outlineLvl w:val="0"/>
              <w:rPr>
                <w:rFonts w:hint="eastAsia" w:hAnsi="宋体" w:cs="宋体"/>
                <w:b/>
                <w:bCs/>
              </w:rPr>
            </w:pPr>
            <w:bookmarkStart w:id="6" w:name="_Toc1636"/>
            <w:bookmarkStart w:id="7" w:name="_Toc5174"/>
            <w:bookmarkStart w:id="8" w:name="_Toc9482"/>
            <w:r>
              <w:rPr>
                <w:rFonts w:hint="eastAsia" w:hAnsi="宋体" w:cs="宋体"/>
                <w:b/>
                <w:bCs/>
              </w:rPr>
              <w:t>污水排放执行标准</w:t>
            </w:r>
            <w:bookmarkEnd w:id="6"/>
            <w:bookmarkEnd w:id="7"/>
            <w:bookmarkEnd w:id="8"/>
          </w:p>
        </w:tc>
        <w:tc>
          <w:tcPr>
            <w:tcW w:w="6539" w:type="dxa"/>
            <w:gridSpan w:val="2"/>
            <w:vAlign w:val="center"/>
          </w:tcPr>
          <w:p w14:paraId="5E1198D1">
            <w:pPr>
              <w:snapToGrid w:val="0"/>
              <w:spacing w:line="360" w:lineRule="auto"/>
              <w:jc w:val="left"/>
              <w:rPr>
                <w:rFonts w:hint="eastAsia" w:ascii="宋体" w:hAnsi="宋体" w:cs="宋体"/>
                <w:szCs w:val="21"/>
              </w:rPr>
            </w:pPr>
            <w:r>
              <w:rPr>
                <w:rFonts w:hint="eastAsia" w:ascii="宋体" w:hAnsi="宋体" w:cs="宋体"/>
                <w:color w:val="auto"/>
                <w:szCs w:val="21"/>
                <w:highlight w:val="none"/>
              </w:rPr>
              <w:t>必须达到《医疗机构水污染排放标准》（GB118466-2005），并通过桂林市环保部门测评。</w:t>
            </w:r>
          </w:p>
        </w:tc>
      </w:tr>
      <w:tr w14:paraId="0935A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5" w:hRule="atLeast"/>
          <w:jc w:val="center"/>
        </w:trPr>
        <w:tc>
          <w:tcPr>
            <w:tcW w:w="2784" w:type="dxa"/>
            <w:gridSpan w:val="3"/>
            <w:vAlign w:val="center"/>
          </w:tcPr>
          <w:p w14:paraId="44779C08">
            <w:pPr>
              <w:snapToGrid w:val="0"/>
              <w:spacing w:line="360" w:lineRule="auto"/>
              <w:jc w:val="center"/>
              <w:outlineLvl w:val="0"/>
              <w:rPr>
                <w:rFonts w:ascii="宋体" w:hAnsi="宋体" w:cs="宋体"/>
                <w:b/>
                <w:bCs/>
                <w:szCs w:val="21"/>
                <w:highlight w:val="none"/>
              </w:rPr>
            </w:pPr>
            <w:bookmarkStart w:id="9" w:name="_Toc25542"/>
            <w:r>
              <w:rPr>
                <w:rFonts w:hint="eastAsia" w:ascii="宋体" w:hAnsi="宋体" w:cs="宋体"/>
                <w:b/>
                <w:bCs/>
                <w:szCs w:val="21"/>
                <w:highlight w:val="none"/>
              </w:rPr>
              <w:t>服务要求</w:t>
            </w:r>
            <w:bookmarkEnd w:id="9"/>
          </w:p>
        </w:tc>
        <w:tc>
          <w:tcPr>
            <w:tcW w:w="6539" w:type="dxa"/>
            <w:gridSpan w:val="2"/>
            <w:vAlign w:val="center"/>
          </w:tcPr>
          <w:p w14:paraId="252BE952">
            <w:pPr>
              <w:widowControl/>
              <w:shd w:val="clear" w:color="auto" w:fill="FFFFFF"/>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1.环境要求</w:t>
            </w:r>
          </w:p>
          <w:p w14:paraId="470BEF83">
            <w:pPr>
              <w:widowControl/>
              <w:shd w:val="clear" w:color="auto" w:fill="FFFFFF"/>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污水处理设备室内应保持干燥、通风，不能采用自然通风的，应采用机械通风管理。</w:t>
            </w:r>
          </w:p>
          <w:p w14:paraId="03E01F76">
            <w:pPr>
              <w:widowControl/>
              <w:shd w:val="clear" w:color="auto" w:fill="FFFFFF"/>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2.管理要求</w:t>
            </w:r>
          </w:p>
          <w:p w14:paraId="08B5E15D">
            <w:pPr>
              <w:widowControl/>
              <w:shd w:val="clear" w:color="auto" w:fill="FFFFFF"/>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2.1污水处理站新建、改建或扩建后，应取得环保部门或符合环保部门要求的第三方机构出具的竣工验收报告。</w:t>
            </w:r>
          </w:p>
          <w:p w14:paraId="2678D63F">
            <w:pPr>
              <w:widowControl/>
              <w:shd w:val="clear" w:color="auto" w:fill="FFFFFF"/>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2.2污水处理站新建、改建或扩建必须符合采购人审批通过的污水处理设施设计要求。</w:t>
            </w:r>
          </w:p>
          <w:p w14:paraId="777C7759">
            <w:pPr>
              <w:widowControl/>
              <w:shd w:val="clear" w:color="auto" w:fill="FFFFFF"/>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2.3污水处理站新建、改建或扩建的设备，必须安装、调试或试运行合格，并取得当地环保部门环评审批后，方可投入运行。</w:t>
            </w:r>
          </w:p>
          <w:p w14:paraId="481AA7C1">
            <w:pPr>
              <w:widowControl/>
              <w:shd w:val="clear" w:color="auto" w:fill="FFFFFF"/>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2.4污水处理管理纳入医院总务部门管理。</w:t>
            </w:r>
          </w:p>
          <w:p w14:paraId="7BE3A86B">
            <w:pPr>
              <w:widowControl/>
              <w:shd w:val="clear" w:color="auto" w:fill="FFFFFF"/>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2.5次氯酸钠等应存放在专用袋（箱、桶）内，标识明确，注意防滴漏。</w:t>
            </w:r>
          </w:p>
          <w:p w14:paraId="3B429966">
            <w:pPr>
              <w:widowControl/>
              <w:shd w:val="clear" w:color="auto" w:fill="FFFFFF"/>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2.6严禁将未作处理的上述污水直接排放。</w:t>
            </w:r>
          </w:p>
          <w:p w14:paraId="0AD0D19D">
            <w:pPr>
              <w:widowControl/>
              <w:shd w:val="clear" w:color="auto" w:fill="FFFFFF"/>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3.污水处理人员</w:t>
            </w:r>
          </w:p>
          <w:p w14:paraId="4A3712F1">
            <w:pPr>
              <w:widowControl/>
              <w:shd w:val="clear" w:color="auto" w:fill="FFFFFF"/>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3.1培训：负责污水处理人员上岗前必须进行岗前培训，内容包括无水水质特征及危害、消毒知识、污水检测方法、仪器设备操作和日常维护等。</w:t>
            </w:r>
          </w:p>
          <w:p w14:paraId="2D4E9454">
            <w:pPr>
              <w:widowControl/>
              <w:shd w:val="clear" w:color="auto" w:fill="FFFFFF"/>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3.2职业防护：为工作人员配备工作服、手套、防水鞋、面罩或护目镜、防水围裙。</w:t>
            </w:r>
          </w:p>
          <w:p w14:paraId="6BD4392F">
            <w:pPr>
              <w:widowControl/>
              <w:shd w:val="clear" w:color="auto" w:fill="FFFFFF"/>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4.日常监测</w:t>
            </w:r>
          </w:p>
          <w:p w14:paraId="017871B0">
            <w:pPr>
              <w:widowControl/>
              <w:shd w:val="clear" w:color="auto" w:fill="FFFFFF"/>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4.1每日上班后仔细巡查污水处理系统，无异常情况后按照操作规程处理污水。</w:t>
            </w:r>
          </w:p>
          <w:p w14:paraId="644FBFE1">
            <w:pPr>
              <w:widowControl/>
              <w:shd w:val="clear" w:color="auto" w:fill="FFFFFF"/>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4.2每日做好设备运行及故障发生、排除等情况的记录。设备运行情况包括运转时间、处理水量、消毒剂消耗量、余氯检测次数、检测结果等；故障情况包括故障时间、故障主要情况、故障处理结果等。</w:t>
            </w:r>
          </w:p>
          <w:p w14:paraId="676972FC">
            <w:pPr>
              <w:widowControl/>
              <w:shd w:val="clear" w:color="auto" w:fill="FFFFFF"/>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4.3每日在排放口测定排放的余氯总浓度，PH值，上、下午各一次，如因暴雨、疫情或上级要求等突发情况，需增加监测次数，并记录备查；采用间歇式消毒处理的，每日排放前监测。可以采用余氯测试装置或测试卡，方法参照产品说明书；监测表见附件。</w:t>
            </w:r>
          </w:p>
          <w:p w14:paraId="1FDFA9E3">
            <w:pPr>
              <w:widowControl/>
              <w:shd w:val="clear" w:color="auto" w:fill="FFFFFF"/>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4.4设有传染病或结核病科室的污水处理需按相关要求单独分开；并严格按照传染病、结核病医疗机构要求监测操作。</w:t>
            </w:r>
          </w:p>
          <w:p w14:paraId="141BB661">
            <w:pPr>
              <w:widowControl/>
              <w:shd w:val="clear" w:color="auto" w:fill="FFFFFF"/>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4.5协助完成每月监测一次粪大肠菌群，每季度监测一次沙门菌，每半年监测一次志贺菌，存档备查。</w:t>
            </w:r>
          </w:p>
          <w:p w14:paraId="7CB8C709">
            <w:pPr>
              <w:widowControl/>
              <w:shd w:val="clear" w:color="auto" w:fill="FFFFFF"/>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4.6监测操作时应做好个人防护，重点做好手部与面部防护，采集污水时戴手套，操作后洗手或手消毒。</w:t>
            </w:r>
          </w:p>
          <w:p w14:paraId="0BA7F8CA">
            <w:pPr>
              <w:widowControl/>
              <w:shd w:val="clear" w:color="auto" w:fill="FFFFFF"/>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4.7每季度清理格栅渣，漂浮物，化粪池或沉淀池的清理运输及处置，需提供有资质的第三方处置公司清运联单记录。</w:t>
            </w:r>
          </w:p>
          <w:p w14:paraId="027E9335">
            <w:pPr>
              <w:widowControl/>
              <w:shd w:val="clear" w:color="auto" w:fill="FFFFFF"/>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4.8协助完成每季度第三方环保公司排污管理平台的监测。</w:t>
            </w:r>
          </w:p>
          <w:p w14:paraId="4C80C325">
            <w:pPr>
              <w:widowControl/>
              <w:shd w:val="clear" w:color="auto" w:fill="FFFFFF"/>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4.9完成部分设备维修。清单另附。</w:t>
            </w:r>
          </w:p>
        </w:tc>
      </w:tr>
      <w:tr w14:paraId="729B1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323" w:type="dxa"/>
            <w:gridSpan w:val="5"/>
            <w:vAlign w:val="center"/>
          </w:tcPr>
          <w:p w14:paraId="4F58721D">
            <w:pPr>
              <w:snapToGrid w:val="0"/>
              <w:spacing w:line="360" w:lineRule="auto"/>
              <w:rPr>
                <w:rFonts w:hint="eastAsia" w:ascii="宋体" w:hAnsi="宋体" w:cs="宋体"/>
                <w:b/>
                <w:bCs/>
                <w:szCs w:val="21"/>
              </w:rPr>
            </w:pPr>
            <w:r>
              <w:rPr>
                <w:rFonts w:hint="eastAsia" w:ascii="宋体" w:hAnsi="宋体" w:cs="宋体"/>
                <w:b/>
                <w:bCs/>
                <w:szCs w:val="21"/>
              </w:rPr>
              <w:t>二、商务要求表</w:t>
            </w:r>
          </w:p>
        </w:tc>
      </w:tr>
      <w:tr w14:paraId="5A358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249" w:type="dxa"/>
            <w:gridSpan w:val="2"/>
            <w:vAlign w:val="center"/>
          </w:tcPr>
          <w:p w14:paraId="0D281B8F">
            <w:pPr>
              <w:snapToGrid w:val="0"/>
              <w:spacing w:line="360" w:lineRule="auto"/>
              <w:jc w:val="center"/>
              <w:rPr>
                <w:rFonts w:hint="eastAsia" w:ascii="宋体" w:hAnsi="宋体" w:cs="宋体"/>
                <w:b/>
                <w:bCs/>
                <w:szCs w:val="21"/>
              </w:rPr>
            </w:pPr>
            <w:r>
              <w:rPr>
                <w:rFonts w:hint="eastAsia" w:ascii="宋体" w:hAnsi="宋体" w:cs="宋体"/>
                <w:b/>
                <w:bCs/>
                <w:szCs w:val="21"/>
              </w:rPr>
              <w:t>服务期</w:t>
            </w:r>
          </w:p>
        </w:tc>
        <w:tc>
          <w:tcPr>
            <w:tcW w:w="8074" w:type="dxa"/>
            <w:gridSpan w:val="3"/>
            <w:vAlign w:val="center"/>
          </w:tcPr>
          <w:p w14:paraId="52486265">
            <w:pPr>
              <w:snapToGrid w:val="0"/>
              <w:spacing w:line="360" w:lineRule="auto"/>
              <w:jc w:val="left"/>
              <w:rPr>
                <w:rFonts w:hint="eastAsia" w:ascii="宋体" w:hAnsi="宋体" w:cs="宋体"/>
                <w:szCs w:val="21"/>
              </w:rPr>
            </w:pPr>
            <w:r>
              <w:rPr>
                <w:rFonts w:hint="eastAsia" w:ascii="宋体" w:hAnsi="宋体" w:cs="宋体"/>
                <w:szCs w:val="21"/>
              </w:rPr>
              <w:t>签订合同之日起</w:t>
            </w:r>
            <w:r>
              <w:rPr>
                <w:rFonts w:hint="eastAsia" w:ascii="宋体" w:hAnsi="宋体" w:cs="宋体"/>
                <w:szCs w:val="21"/>
                <w:lang w:val="en-US" w:eastAsia="zh-CN"/>
              </w:rPr>
              <w:t>两</w:t>
            </w:r>
            <w:r>
              <w:rPr>
                <w:rFonts w:hint="eastAsia" w:ascii="宋体" w:hAnsi="宋体" w:cs="宋体"/>
                <w:szCs w:val="21"/>
              </w:rPr>
              <w:t>年。</w:t>
            </w:r>
          </w:p>
        </w:tc>
      </w:tr>
      <w:tr w14:paraId="7FAC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249" w:type="dxa"/>
            <w:gridSpan w:val="2"/>
            <w:vAlign w:val="center"/>
          </w:tcPr>
          <w:p w14:paraId="787A2989">
            <w:pPr>
              <w:snapToGrid w:val="0"/>
              <w:spacing w:line="360" w:lineRule="auto"/>
              <w:jc w:val="center"/>
              <w:rPr>
                <w:rFonts w:hint="eastAsia" w:ascii="宋体" w:hAnsi="宋体" w:cs="宋体"/>
                <w:b/>
                <w:bCs/>
                <w:szCs w:val="21"/>
              </w:rPr>
            </w:pPr>
            <w:r>
              <w:rPr>
                <w:rFonts w:hint="eastAsia" w:ascii="宋体" w:hAnsi="宋体" w:cs="宋体"/>
                <w:b/>
                <w:szCs w:val="21"/>
              </w:rPr>
              <w:t>合同运营服务范围</w:t>
            </w:r>
          </w:p>
        </w:tc>
        <w:tc>
          <w:tcPr>
            <w:tcW w:w="8074" w:type="dxa"/>
            <w:gridSpan w:val="3"/>
            <w:vAlign w:val="center"/>
          </w:tcPr>
          <w:p w14:paraId="6171C65C">
            <w:pPr>
              <w:widowControl/>
              <w:shd w:val="clear" w:color="auto" w:fill="FFFFFF"/>
              <w:tabs>
                <w:tab w:val="left" w:pos="0"/>
              </w:tabs>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负责派遣操作人员操作运行全套污水处理系统，操作人员需经过相关部门考核，取得污水处理设施操作职业资格证，并且全年在岗，一天上班时间8小时工作制，如工作时间外，出现问题必须一小时内到现场。目前污水处理系统的额定处理能力为：日处理医疗污水1200吨。</w:t>
            </w:r>
          </w:p>
          <w:p w14:paraId="42F58F58">
            <w:pPr>
              <w:widowControl/>
              <w:shd w:val="clear" w:color="auto" w:fill="FFFFFF"/>
              <w:tabs>
                <w:tab w:val="left" w:pos="0"/>
              </w:tabs>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2.负责污水处理所需药剂的采购、运输、保管，按时按量规范加投药剂，必须提供投入药剂的生产合格证等相关证明，并做好记录。</w:t>
            </w:r>
          </w:p>
          <w:p w14:paraId="4A9BA495">
            <w:pPr>
              <w:widowControl/>
              <w:shd w:val="clear" w:color="auto" w:fill="FFFFFF"/>
              <w:tabs>
                <w:tab w:val="left" w:pos="0"/>
              </w:tabs>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3.负责做好日常余氯、PH值的监测并做好记录。</w:t>
            </w:r>
          </w:p>
          <w:p w14:paraId="7B7BD2B2">
            <w:pPr>
              <w:widowControl/>
              <w:shd w:val="clear" w:color="auto" w:fill="FFFFFF"/>
              <w:tabs>
                <w:tab w:val="left" w:pos="0"/>
              </w:tabs>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4.负责污水处理设备的日常保养、维修，制定相关设备如风机，水泵等保养、检修计划及记录。</w:t>
            </w:r>
          </w:p>
          <w:p w14:paraId="48697F64">
            <w:pPr>
              <w:widowControl/>
              <w:shd w:val="clear" w:color="auto" w:fill="FFFFFF"/>
              <w:tabs>
                <w:tab w:val="left" w:pos="0"/>
              </w:tabs>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5.当国家有关法规、污水处理排放标准或环保主管部门的要求发生变化时，需负责及时调整设备（包括新增设备）以保证符合国家有关法规、污水处理排放标准或环保主管部门的要求。</w:t>
            </w:r>
          </w:p>
          <w:p w14:paraId="27524AA9">
            <w:pPr>
              <w:widowControl/>
              <w:shd w:val="clear" w:color="auto" w:fill="FFFFFF"/>
              <w:tabs>
                <w:tab w:val="left" w:pos="0"/>
              </w:tabs>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6.当医院规模扩大，污水量增加时，负责及时添置新设备，以保证医疗污水正常处理和排放；新增设备如加药机、水泵、电控等设备必须满足污水处理要求，已实际污水处理达标为准。</w:t>
            </w:r>
          </w:p>
          <w:p w14:paraId="629D9B71">
            <w:pPr>
              <w:widowControl/>
              <w:shd w:val="clear" w:color="auto" w:fill="FFFFFF"/>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7.负责整理好相关资料以备环保等部门检查时现场查看资料、解答、汇报工作。</w:t>
            </w:r>
          </w:p>
        </w:tc>
      </w:tr>
      <w:tr w14:paraId="616E8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249" w:type="dxa"/>
            <w:gridSpan w:val="2"/>
            <w:vAlign w:val="center"/>
          </w:tcPr>
          <w:p w14:paraId="70D00595">
            <w:pPr>
              <w:snapToGrid w:val="0"/>
              <w:spacing w:line="360" w:lineRule="auto"/>
              <w:jc w:val="center"/>
              <w:rPr>
                <w:rFonts w:hint="eastAsia" w:ascii="宋体" w:hAnsi="宋体" w:cs="宋体"/>
                <w:b/>
                <w:bCs/>
                <w:szCs w:val="21"/>
              </w:rPr>
            </w:pPr>
            <w:r>
              <w:rPr>
                <w:rFonts w:hint="eastAsia" w:ascii="宋体" w:hAnsi="宋体" w:cs="宋体"/>
                <w:b/>
                <w:szCs w:val="21"/>
              </w:rPr>
              <w:t>运营和维护的基本原则</w:t>
            </w:r>
          </w:p>
        </w:tc>
        <w:tc>
          <w:tcPr>
            <w:tcW w:w="8074" w:type="dxa"/>
            <w:gridSpan w:val="3"/>
          </w:tcPr>
          <w:p w14:paraId="0E3B7676">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在整个运营期，成交人应根据本合同的规定，自行承担费用和风险，管理、运营和维护污水处理设施。成交人应确保在整个运营期内，始终根据下列规定运营并维护污水处理项目设施：</w:t>
            </w:r>
          </w:p>
          <w:p w14:paraId="7C2B9209">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(a)企业运行必须严格执行国家和地方现行有关法律法规，污水处理必须符合有关法律法规、标准、规范和本项目有关批准文件的要求。</w:t>
            </w:r>
          </w:p>
          <w:p w14:paraId="234126A8">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(b)企业运营必须严格执行有关质量保证、质量控制和安全生产的要求。</w:t>
            </w:r>
          </w:p>
          <w:p w14:paraId="3C30166D">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(c)企业运行必须严格遵照运行维护手册以及污水处理项目内设备制造商提供的说明手册和指导。</w:t>
            </w:r>
          </w:p>
          <w:p w14:paraId="004F8836">
            <w:pPr>
              <w:widowControl/>
              <w:shd w:val="clear" w:color="auto" w:fill="FFFFFF"/>
              <w:spacing w:line="360" w:lineRule="auto"/>
              <w:ind w:firstLine="420" w:firstLineChars="200"/>
              <w:jc w:val="left"/>
              <w:rPr>
                <w:rFonts w:hint="eastAsia" w:ascii="宋体" w:hAnsi="宋体" w:cs="宋体"/>
                <w:szCs w:val="21"/>
              </w:rPr>
            </w:pPr>
            <w:r>
              <w:rPr>
                <w:rFonts w:hint="eastAsia" w:ascii="宋体" w:hAnsi="宋体" w:cs="宋体"/>
                <w:kern w:val="0"/>
                <w:szCs w:val="21"/>
              </w:rPr>
              <w:t>（d）成交人应确保污水处理项目设施始终处于良好营运状态并能够安全稳定地处理污水和污泥，使其达到排放标准，大气污染物和噪声满足环保要求。</w:t>
            </w:r>
          </w:p>
        </w:tc>
      </w:tr>
      <w:tr w14:paraId="4D721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249" w:type="dxa"/>
            <w:gridSpan w:val="2"/>
            <w:vAlign w:val="center"/>
          </w:tcPr>
          <w:p w14:paraId="51C2FC99">
            <w:pPr>
              <w:snapToGrid w:val="0"/>
              <w:spacing w:line="360" w:lineRule="auto"/>
              <w:jc w:val="center"/>
              <w:rPr>
                <w:rFonts w:hint="eastAsia" w:ascii="宋体" w:hAnsi="宋体" w:cs="宋体"/>
                <w:b/>
                <w:szCs w:val="21"/>
              </w:rPr>
            </w:pPr>
            <w:r>
              <w:rPr>
                <w:rFonts w:hint="eastAsia" w:ascii="宋体" w:hAnsi="宋体" w:cs="宋体"/>
                <w:b/>
                <w:szCs w:val="21"/>
              </w:rPr>
              <w:t>污水处理范围</w:t>
            </w:r>
          </w:p>
        </w:tc>
        <w:tc>
          <w:tcPr>
            <w:tcW w:w="8074" w:type="dxa"/>
            <w:gridSpan w:val="3"/>
          </w:tcPr>
          <w:p w14:paraId="3F9DA519">
            <w:pPr>
              <w:widowControl/>
              <w:shd w:val="clear" w:color="auto" w:fill="FFFFFF"/>
              <w:spacing w:line="360" w:lineRule="auto"/>
              <w:ind w:firstLine="420" w:firstLineChars="200"/>
              <w:jc w:val="left"/>
              <w:rPr>
                <w:rFonts w:hint="eastAsia" w:ascii="宋体" w:hAnsi="宋体" w:cs="宋体"/>
                <w:szCs w:val="21"/>
              </w:rPr>
            </w:pPr>
            <w:r>
              <w:rPr>
                <w:rFonts w:hint="eastAsia" w:ascii="宋体" w:hAnsi="宋体" w:cs="宋体"/>
                <w:kern w:val="0"/>
                <w:szCs w:val="21"/>
              </w:rPr>
              <w:t>在合同运营服务期内，成交人应只对采购人收集的污水提供处理。未经采购人事先书面同意，不得接受任何第三方的污水进行处理（污水处理项目自身产生的污水除外）。</w:t>
            </w:r>
          </w:p>
        </w:tc>
      </w:tr>
      <w:tr w14:paraId="0AB41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249" w:type="dxa"/>
            <w:gridSpan w:val="2"/>
            <w:vAlign w:val="center"/>
          </w:tcPr>
          <w:p w14:paraId="239392F8">
            <w:pPr>
              <w:snapToGrid w:val="0"/>
              <w:spacing w:line="360" w:lineRule="auto"/>
              <w:jc w:val="center"/>
              <w:rPr>
                <w:rFonts w:hint="eastAsia" w:ascii="宋体" w:hAnsi="宋体" w:cs="宋体"/>
                <w:b/>
                <w:szCs w:val="21"/>
              </w:rPr>
            </w:pPr>
            <w:r>
              <w:rPr>
                <w:rFonts w:hint="eastAsia" w:ascii="宋体" w:hAnsi="宋体" w:cs="宋体"/>
                <w:b/>
                <w:szCs w:val="21"/>
              </w:rPr>
              <w:t>采购人的主要责任</w:t>
            </w:r>
          </w:p>
        </w:tc>
        <w:tc>
          <w:tcPr>
            <w:tcW w:w="8074" w:type="dxa"/>
            <w:gridSpan w:val="3"/>
          </w:tcPr>
          <w:p w14:paraId="6881AD01">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1.采购人应确保在整个合同运营服务期内，收集和输送污水至污水处理项目交付点。</w:t>
            </w:r>
          </w:p>
          <w:p w14:paraId="29E14005">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2.在整个合同运营服务期内，应督促成交人认真执行国家行业标准、行业管理部门和地方政府的相关规定以及本合同规定的出水质量标准。</w:t>
            </w:r>
          </w:p>
        </w:tc>
      </w:tr>
      <w:tr w14:paraId="734D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249" w:type="dxa"/>
            <w:gridSpan w:val="2"/>
            <w:vAlign w:val="center"/>
          </w:tcPr>
          <w:p w14:paraId="5990EECF">
            <w:pPr>
              <w:snapToGrid w:val="0"/>
              <w:spacing w:line="360" w:lineRule="auto"/>
              <w:jc w:val="center"/>
              <w:rPr>
                <w:rFonts w:hint="eastAsia" w:ascii="宋体" w:hAnsi="宋体" w:cs="宋体"/>
                <w:b/>
                <w:szCs w:val="21"/>
              </w:rPr>
            </w:pPr>
            <w:r>
              <w:rPr>
                <w:rFonts w:hint="eastAsia" w:ascii="宋体" w:hAnsi="宋体" w:cs="宋体"/>
                <w:b/>
                <w:szCs w:val="21"/>
              </w:rPr>
              <w:t>成交人的主要责任</w:t>
            </w:r>
          </w:p>
        </w:tc>
        <w:tc>
          <w:tcPr>
            <w:tcW w:w="8074" w:type="dxa"/>
            <w:gridSpan w:val="3"/>
          </w:tcPr>
          <w:p w14:paraId="4C510623">
            <w:pPr>
              <w:widowControl/>
              <w:shd w:val="clear" w:color="auto" w:fill="FFFFFF"/>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rPr>
              <w:t>1.从开始运营日起，成交人应按照国家、行业及地方现行的有关规范连续接受和处理污水（除本合同另有规定外），保证出水、</w:t>
            </w:r>
            <w:r>
              <w:rPr>
                <w:rFonts w:hint="eastAsia" w:ascii="宋体" w:hAnsi="宋体" w:cs="宋体"/>
                <w:kern w:val="0"/>
                <w:szCs w:val="21"/>
                <w:highlight w:val="none"/>
              </w:rPr>
              <w:t>污泥、大气污染物和噪声等达到约定的标准，将从接收点排入的进水经处理达到出水质量标准后，排放至交付点,并负责将污泥运输至污泥处置场所处理，且自行承担运输、处置费。</w:t>
            </w:r>
          </w:p>
          <w:p w14:paraId="36C5D963">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highlight w:val="none"/>
              </w:rPr>
              <w:t>2.成交人应按适用法律法规和合理的商业标准以及谨慎运行惯例认真而有效</w:t>
            </w:r>
            <w:r>
              <w:rPr>
                <w:rFonts w:hint="eastAsia" w:ascii="宋体" w:hAnsi="宋体" w:cs="宋体"/>
                <w:kern w:val="0"/>
                <w:szCs w:val="21"/>
              </w:rPr>
              <w:t>地处理其业务与事务。</w:t>
            </w:r>
          </w:p>
          <w:p w14:paraId="2258D6FE">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3.成交人应建立健全水质检测和检验制度，按照国家或行业规定的检测项目、检测频次和有关标准、方法定期检测污水处理站进水和出水质量，做好各项检测分析资料和水质报表的汇总、归档。</w:t>
            </w:r>
          </w:p>
          <w:p w14:paraId="3F3E4C36">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4.成交人应对污水处理设施的状况及性能建立定期检修保养制度，对各项设施的图纸资料进行收集、归类和整理，完善公用设施信息化管理系统，保持污水处理设施处于良好使用状态，并在招标人的要求下将设施运行情况报告给采购人。</w:t>
            </w:r>
          </w:p>
          <w:p w14:paraId="53298494">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5.成交人在日常生产经营活动中，应充分考虑环境影响，维护生态环境。</w:t>
            </w:r>
          </w:p>
          <w:p w14:paraId="49758247">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6.成交人应建立完善安全生产制度和意外事故的应急机制，制定应急预案报采购人备案，并按要求定期进行应急预案演练，保障生产和服务的稳定和安全，防止事故发生。如出现重大意外事故，成交人应及时通报采购人，并尽最大人力、物力进行抢救，尽快恢复生产与服务；在事故影响期间，成交人应采取各种应急措施进行补救，尽量减少事故对公众的影响。若因成交人经营管理不完善或人为因素导致的安全事故，则由成交人自行承担损失和责任。</w:t>
            </w:r>
          </w:p>
          <w:p w14:paraId="3DB018E5">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7.在任何时候污水处理站进水水质超标和进水水量超过设计限值，成交人有义务协助采购人共同查找原因和商议解决方案。</w:t>
            </w:r>
          </w:p>
          <w:p w14:paraId="368E5B96">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8.确保污水处理后出水指标达到排放标准，同时妥善处理污泥及恶臭，避免二次污染事故的发生。</w:t>
            </w:r>
          </w:p>
          <w:p w14:paraId="2BC16CA4">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9.运行台帐记录齐全。根据污水处理设施的实际情况，制定具体的运行维护计划，明确日常运行维护内容，落实专人进行维护管理，建立健全运行维护管理制度，安全生产制度，做好运行维护管理记录。</w:t>
            </w:r>
          </w:p>
        </w:tc>
      </w:tr>
      <w:tr w14:paraId="23F5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249" w:type="dxa"/>
            <w:gridSpan w:val="2"/>
            <w:vAlign w:val="center"/>
          </w:tcPr>
          <w:p w14:paraId="0AD607CB">
            <w:pPr>
              <w:snapToGrid w:val="0"/>
              <w:spacing w:line="360" w:lineRule="auto"/>
              <w:jc w:val="center"/>
              <w:rPr>
                <w:rFonts w:hint="eastAsia" w:ascii="宋体" w:hAnsi="宋体" w:cs="宋体"/>
                <w:b/>
                <w:szCs w:val="21"/>
              </w:rPr>
            </w:pPr>
            <w:r>
              <w:rPr>
                <w:rFonts w:hint="eastAsia" w:ascii="宋体" w:hAnsi="宋体" w:cs="宋体"/>
                <w:b/>
                <w:szCs w:val="21"/>
              </w:rPr>
              <w:t>运行与维护手册</w:t>
            </w:r>
          </w:p>
        </w:tc>
        <w:tc>
          <w:tcPr>
            <w:tcW w:w="8074" w:type="dxa"/>
            <w:gridSpan w:val="3"/>
          </w:tcPr>
          <w:p w14:paraId="0A7E5049">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在开始商业运营之前，成交人应根据适用法律和谨慎运营惯例编制运行与维护手册。经采购人同意后，成交人应按照该运营维护手册对污水处理站进行运营和维护，运营维护手册在运营期内应根据污水处理站运营和维护的实际情况随时进行修改、补充和完善，并经招标人同意后遵照执行。该手册应包括但不限于如下内容：</w:t>
            </w:r>
          </w:p>
          <w:p w14:paraId="096DD410">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(a)运营维护手册应包括污水处理站进行定期和年度检查、日常运行维护、大修维护和年度维护的程序和计划，以及调整和改进检验及维护安排的程序和计划，并制定应对突发事件的应急服务预案。</w:t>
            </w:r>
          </w:p>
          <w:p w14:paraId="2A0ABBAD">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(b)运营维护手册应列明污水处理站正常运营所需的消耗性备品备件和事故抢修的备品备件以及对项目设施的更新改造计划。</w:t>
            </w:r>
          </w:p>
          <w:p w14:paraId="23E9AA3B">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(c)污水处理站的运营和维护应符合适用法律和我国行业规范、标准的要求。</w:t>
            </w:r>
          </w:p>
        </w:tc>
      </w:tr>
      <w:tr w14:paraId="454FC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249" w:type="dxa"/>
            <w:gridSpan w:val="2"/>
            <w:vAlign w:val="center"/>
          </w:tcPr>
          <w:p w14:paraId="4FFD088B">
            <w:pPr>
              <w:snapToGrid w:val="0"/>
              <w:spacing w:line="360" w:lineRule="auto"/>
              <w:jc w:val="center"/>
              <w:rPr>
                <w:rFonts w:hint="eastAsia" w:ascii="宋体" w:hAnsi="宋体" w:cs="宋体"/>
                <w:b/>
                <w:szCs w:val="21"/>
              </w:rPr>
            </w:pPr>
            <w:r>
              <w:rPr>
                <w:rFonts w:hint="eastAsia" w:ascii="宋体" w:hAnsi="宋体" w:cs="宋体"/>
                <w:b/>
                <w:szCs w:val="21"/>
              </w:rPr>
              <w:t>通知义务</w:t>
            </w:r>
          </w:p>
        </w:tc>
        <w:tc>
          <w:tcPr>
            <w:tcW w:w="8074" w:type="dxa"/>
            <w:gridSpan w:val="3"/>
          </w:tcPr>
          <w:p w14:paraId="498E822B">
            <w:pPr>
              <w:widowControl/>
              <w:shd w:val="clear" w:color="auto" w:fill="FFFFFF"/>
              <w:spacing w:line="360" w:lineRule="auto"/>
              <w:ind w:firstLine="525"/>
              <w:jc w:val="left"/>
              <w:rPr>
                <w:rFonts w:hint="eastAsia" w:ascii="宋体" w:hAnsi="宋体" w:cs="宋体"/>
                <w:kern w:val="0"/>
                <w:szCs w:val="21"/>
              </w:rPr>
            </w:pPr>
            <w:r>
              <w:rPr>
                <w:rFonts w:hint="eastAsia" w:ascii="宋体" w:hAnsi="宋体" w:cs="宋体"/>
                <w:kern w:val="0"/>
                <w:szCs w:val="21"/>
              </w:rPr>
              <w:t>在任何时候污水处理站进水水质超标和进水水量超过设计限值的120%，则成交人应在2个小时内通知招标人，并告知进水的异常情况和提供有关数据以及成交人为此收集到的有关调查详情。成交人未按照上述要求履行向采购人通知义务和提供有关依据的，则成交人不得以此为理由抗辩其应行使的污水全面处理和达标排放之义务。</w:t>
            </w:r>
          </w:p>
        </w:tc>
      </w:tr>
      <w:tr w14:paraId="562C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249" w:type="dxa"/>
            <w:gridSpan w:val="2"/>
            <w:vAlign w:val="center"/>
          </w:tcPr>
          <w:p w14:paraId="2545B81C">
            <w:pPr>
              <w:snapToGrid w:val="0"/>
              <w:spacing w:line="360" w:lineRule="auto"/>
              <w:jc w:val="center"/>
              <w:rPr>
                <w:rFonts w:hint="eastAsia" w:ascii="宋体" w:hAnsi="宋体" w:cs="宋体"/>
                <w:b/>
                <w:szCs w:val="21"/>
              </w:rPr>
            </w:pPr>
            <w:r>
              <w:rPr>
                <w:rFonts w:hint="eastAsia" w:ascii="宋体" w:hAnsi="宋体" w:cs="宋体"/>
                <w:b/>
                <w:szCs w:val="21"/>
              </w:rPr>
              <w:t>环境保护</w:t>
            </w:r>
          </w:p>
        </w:tc>
        <w:tc>
          <w:tcPr>
            <w:tcW w:w="8074" w:type="dxa"/>
            <w:gridSpan w:val="3"/>
          </w:tcPr>
          <w:p w14:paraId="59B0BB3F">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1.成交人应始终遵守有关公共卫生和安全的适用法律法规及本合同的规定。</w:t>
            </w:r>
          </w:p>
          <w:p w14:paraId="1BACA284">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2.成交人不应因项目设施的建设、运营和维护而造成污水处理站场地和排水干管土地（包括土壤、地下水或地表水及空气）或周围环境的污染。</w:t>
            </w:r>
          </w:p>
          <w:p w14:paraId="52AECB20">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3.成交人在项目设施的建设、运营和维护期间应采取一切合理措施来避免或尽量减少对项目设施周围建筑物和居民区的干扰。</w:t>
            </w:r>
          </w:p>
        </w:tc>
      </w:tr>
      <w:tr w14:paraId="46C6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249" w:type="dxa"/>
            <w:gridSpan w:val="2"/>
            <w:vAlign w:val="center"/>
          </w:tcPr>
          <w:p w14:paraId="1B98DFF1">
            <w:pPr>
              <w:snapToGrid w:val="0"/>
              <w:spacing w:line="360" w:lineRule="auto"/>
              <w:jc w:val="center"/>
              <w:rPr>
                <w:rFonts w:hint="eastAsia" w:ascii="宋体" w:hAnsi="宋体" w:cs="宋体"/>
                <w:b/>
                <w:szCs w:val="21"/>
              </w:rPr>
            </w:pPr>
            <w:r>
              <w:rPr>
                <w:rFonts w:hint="eastAsia" w:ascii="宋体" w:hAnsi="宋体" w:cs="宋体"/>
                <w:b/>
                <w:szCs w:val="21"/>
              </w:rPr>
              <w:t>未履行维护的处理</w:t>
            </w:r>
          </w:p>
        </w:tc>
        <w:tc>
          <w:tcPr>
            <w:tcW w:w="8074" w:type="dxa"/>
            <w:gridSpan w:val="3"/>
          </w:tcPr>
          <w:p w14:paraId="2602BB91">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如果成交人违反污水处理项目设施维护的义务，采购人可就该违约向成交人发出通知，限期完成纠正性维护。成交人在接到上述通知后必须立即对污水处理项目设施进行全面整改和维护。</w:t>
            </w:r>
          </w:p>
        </w:tc>
      </w:tr>
      <w:tr w14:paraId="4486A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249" w:type="dxa"/>
            <w:gridSpan w:val="2"/>
            <w:vAlign w:val="center"/>
          </w:tcPr>
          <w:p w14:paraId="10E2153E">
            <w:pPr>
              <w:snapToGrid w:val="0"/>
              <w:spacing w:line="360" w:lineRule="auto"/>
              <w:jc w:val="center"/>
              <w:rPr>
                <w:rFonts w:hint="eastAsia" w:ascii="宋体" w:hAnsi="宋体" w:cs="宋体"/>
                <w:b/>
                <w:bCs/>
                <w:szCs w:val="21"/>
              </w:rPr>
            </w:pPr>
            <w:r>
              <w:rPr>
                <w:rFonts w:hint="eastAsia" w:ascii="宋体" w:hAnsi="宋体" w:cs="宋体"/>
                <w:b/>
                <w:bCs/>
                <w:szCs w:val="21"/>
              </w:rPr>
              <w:t>付款条件</w:t>
            </w:r>
          </w:p>
        </w:tc>
        <w:tc>
          <w:tcPr>
            <w:tcW w:w="8074" w:type="dxa"/>
            <w:gridSpan w:val="3"/>
          </w:tcPr>
          <w:p w14:paraId="1CEBBB86">
            <w:pPr>
              <w:snapToGrid w:val="0"/>
              <w:spacing w:line="360" w:lineRule="auto"/>
              <w:ind w:firstLine="422" w:firstLineChars="200"/>
              <w:jc w:val="left"/>
              <w:rPr>
                <w:rFonts w:hint="eastAsia" w:ascii="宋体" w:hAnsi="宋体" w:cs="宋体"/>
                <w:b/>
                <w:szCs w:val="21"/>
              </w:rPr>
            </w:pPr>
            <w:r>
              <w:rPr>
                <w:rFonts w:hint="eastAsia" w:ascii="宋体" w:hAnsi="宋体" w:cs="宋体"/>
                <w:b/>
                <w:szCs w:val="21"/>
              </w:rPr>
              <w:t>按月度污水处理量支付，即按实际处理量计算，如有扣罚，按扣罚后的实际费用支付。</w:t>
            </w:r>
          </w:p>
        </w:tc>
      </w:tr>
      <w:tr w14:paraId="24402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323" w:type="dxa"/>
            <w:gridSpan w:val="5"/>
          </w:tcPr>
          <w:p w14:paraId="33AB857D">
            <w:pPr>
              <w:widowControl/>
              <w:spacing w:line="360" w:lineRule="auto"/>
              <w:rPr>
                <w:rFonts w:hint="eastAsia" w:ascii="宋体" w:hAnsi="宋体" w:cs="宋体"/>
                <w:szCs w:val="21"/>
              </w:rPr>
            </w:pPr>
            <w:r>
              <w:rPr>
                <w:rFonts w:hint="eastAsia" w:ascii="宋体" w:hAnsi="宋体" w:cs="宋体"/>
                <w:szCs w:val="21"/>
              </w:rPr>
              <w:t>其他要求：</w:t>
            </w:r>
          </w:p>
          <w:p w14:paraId="06438F08">
            <w:pPr>
              <w:widowControl/>
              <w:spacing w:line="360" w:lineRule="auto"/>
              <w:ind w:firstLine="422" w:firstLineChars="200"/>
              <w:rPr>
                <w:rFonts w:hint="eastAsia" w:ascii="宋体" w:hAnsi="宋体" w:cs="宋体"/>
                <w:b/>
                <w:bCs/>
                <w:szCs w:val="21"/>
              </w:rPr>
            </w:pPr>
            <w:r>
              <w:rPr>
                <w:rFonts w:hint="eastAsia" w:ascii="宋体" w:hAnsi="宋体" w:cs="宋体"/>
                <w:b/>
                <w:bCs/>
                <w:szCs w:val="21"/>
              </w:rPr>
              <w:t>1.其他说明：</w:t>
            </w:r>
          </w:p>
          <w:p w14:paraId="7679C3D6">
            <w:pPr>
              <w:widowControl/>
              <w:spacing w:line="360" w:lineRule="auto"/>
              <w:ind w:firstLine="420" w:firstLineChars="200"/>
              <w:rPr>
                <w:rFonts w:hint="eastAsia" w:ascii="宋体" w:hAnsi="宋体" w:cs="宋体"/>
                <w:szCs w:val="21"/>
              </w:rPr>
            </w:pPr>
            <w:r>
              <w:rPr>
                <w:rFonts w:hint="eastAsia" w:ascii="宋体" w:hAnsi="宋体" w:cs="宋体"/>
                <w:szCs w:val="21"/>
              </w:rPr>
              <w:t>供应商竞标报价必须包含满足本次竞标全部采购需求所应提供的服务，以及医疗污水处理量每吨为单位报价，价格需包含运维人工费；药剂费用；</w:t>
            </w:r>
            <w:r>
              <w:rPr>
                <w:rFonts w:hint="eastAsia" w:ascii="宋体" w:hAnsi="宋体" w:cs="宋体"/>
                <w:szCs w:val="21"/>
                <w:lang w:val="en-US" w:eastAsia="zh-CN"/>
              </w:rPr>
              <w:t>1000元（含）以下</w:t>
            </w:r>
            <w:r>
              <w:rPr>
                <w:rFonts w:hint="eastAsia" w:ascii="宋体" w:hAnsi="宋体" w:cs="宋体"/>
                <w:szCs w:val="21"/>
              </w:rPr>
              <w:t>设备维护、维修、更换费；日常操作所需的相关防护用品费用；工作场所翻新费；</w:t>
            </w:r>
            <w:r>
              <w:rPr>
                <w:rFonts w:hint="eastAsia" w:ascii="宋体" w:hAnsi="宋体" w:cs="宋体"/>
                <w:szCs w:val="21"/>
                <w:lang w:val="en-US" w:eastAsia="zh-CN"/>
              </w:rPr>
              <w:t>附件清单中</w:t>
            </w:r>
            <w:r>
              <w:rPr>
                <w:rFonts w:hint="eastAsia" w:ascii="宋体" w:hAnsi="宋体" w:cs="宋体"/>
                <w:szCs w:val="21"/>
              </w:rPr>
              <w:t>污水处理站相关设施的维修、更换费等相关一切费用，供应商都应综合考虑在报价中。</w:t>
            </w:r>
          </w:p>
          <w:p w14:paraId="287A2E0F">
            <w:pPr>
              <w:tabs>
                <w:tab w:val="left" w:pos="735"/>
              </w:tabs>
              <w:spacing w:line="360" w:lineRule="auto"/>
              <w:ind w:firstLine="420" w:firstLineChars="200"/>
              <w:rPr>
                <w:rFonts w:hint="eastAsia" w:ascii="宋体" w:hAnsi="宋体" w:cs="宋体"/>
                <w:szCs w:val="21"/>
              </w:rPr>
            </w:pPr>
            <w:r>
              <w:rPr>
                <w:rFonts w:hint="eastAsia" w:ascii="宋体" w:hAnsi="宋体" w:cs="宋体"/>
                <w:szCs w:val="21"/>
              </w:rPr>
              <w:t>2.由于成交人的原因造成污水排放不达标或无法通过环保部门的测评，由成交人承担因此引起的一切经济损失及责任。</w:t>
            </w:r>
          </w:p>
          <w:p w14:paraId="20A26AE6">
            <w:pPr>
              <w:tabs>
                <w:tab w:val="left" w:pos="735"/>
              </w:tabs>
              <w:spacing w:line="360" w:lineRule="auto"/>
              <w:ind w:firstLine="420" w:firstLineChars="200"/>
              <w:rPr>
                <w:rFonts w:hint="eastAsia" w:ascii="宋体" w:hAnsi="宋体" w:cs="宋体"/>
                <w:szCs w:val="21"/>
              </w:rPr>
            </w:pPr>
            <w:r>
              <w:rPr>
                <w:rFonts w:hint="eastAsia" w:ascii="宋体" w:hAnsi="宋体" w:cs="宋体"/>
                <w:szCs w:val="21"/>
              </w:rPr>
              <w:t>3.服务期间，每季度结束需提交排放水质检测报告，报告出具人可为环保部门或双方认可的第三方检测机构，因水质检测而产生的费用由成交人负责。未提交检测报告将不予支付服务款项。</w:t>
            </w:r>
          </w:p>
          <w:p w14:paraId="4219417B">
            <w:pPr>
              <w:tabs>
                <w:tab w:val="left" w:pos="735"/>
              </w:tabs>
              <w:spacing w:line="360" w:lineRule="auto"/>
              <w:ind w:firstLine="420" w:firstLineChars="200"/>
              <w:rPr>
                <w:rFonts w:hint="eastAsia" w:ascii="宋体" w:hAnsi="宋体" w:cs="宋体"/>
                <w:szCs w:val="21"/>
              </w:rPr>
            </w:pPr>
            <w:r>
              <w:rPr>
                <w:rFonts w:hint="eastAsia" w:ascii="宋体" w:hAnsi="宋体" w:cs="宋体"/>
                <w:szCs w:val="21"/>
              </w:rPr>
              <w:t>4.如成交人出现检测不达标的情况下，采购人下达整改通知书，同时扣罚当季服务费用的5%；整改后仍不达标的，下达再次整改通知书，并扣罚当季10%服务费用。再次整改仍不合格的，合同解除，成交人不得再参与采购人后续的相关项目招标采购及其他任何服务。</w:t>
            </w:r>
          </w:p>
          <w:p w14:paraId="05549846">
            <w:pPr>
              <w:tabs>
                <w:tab w:val="left" w:pos="735"/>
              </w:tabs>
              <w:spacing w:line="360" w:lineRule="auto"/>
              <w:ind w:firstLine="420" w:firstLineChars="200"/>
              <w:rPr>
                <w:rFonts w:hint="eastAsia" w:ascii="宋体" w:hAnsi="宋体" w:cs="宋体"/>
                <w:szCs w:val="21"/>
              </w:rPr>
            </w:pPr>
            <w:r>
              <w:rPr>
                <w:rFonts w:hint="eastAsia" w:ascii="宋体" w:hAnsi="宋体" w:cs="宋体"/>
                <w:szCs w:val="21"/>
              </w:rPr>
              <w:t>5.成交人在服务期间应秉着负责的态度和严格的工作作风，积极响应采购人各项工作要求，如出现不配合、不汇报、不响应的，情节严重且造成恶劣影响的将予以解除合同。成交人不得再参与采购人后续的相关项目招标采购及其他任何服务。</w:t>
            </w:r>
          </w:p>
          <w:p w14:paraId="3582AFF3">
            <w:pPr>
              <w:tabs>
                <w:tab w:val="left" w:pos="735"/>
              </w:tabs>
              <w:spacing w:line="360" w:lineRule="auto"/>
              <w:ind w:firstLine="420" w:firstLineChars="200"/>
              <w:rPr>
                <w:rFonts w:hint="eastAsia" w:ascii="宋体" w:hAnsi="宋体" w:cs="宋体"/>
                <w:szCs w:val="21"/>
              </w:rPr>
            </w:pPr>
            <w:r>
              <w:rPr>
                <w:rFonts w:hint="eastAsia" w:ascii="宋体" w:hAnsi="宋体" w:cs="宋体"/>
                <w:szCs w:val="21"/>
              </w:rPr>
              <w:t>6.成交人在服务期间因自身原因出现重大质量及安全事故的，合同解除。成交人不得再参与采购人后续的相关项目招标采购及其他任何服务。</w:t>
            </w:r>
          </w:p>
          <w:p w14:paraId="6F96D512">
            <w:pPr>
              <w:widowControl/>
              <w:spacing w:line="360" w:lineRule="auto"/>
              <w:ind w:firstLine="422" w:firstLineChars="200"/>
              <w:rPr>
                <w:rFonts w:hint="eastAsia" w:ascii="宋体" w:hAnsi="宋体" w:cs="宋体"/>
                <w:szCs w:val="21"/>
              </w:rPr>
            </w:pPr>
            <w:r>
              <w:rPr>
                <w:rFonts w:hint="eastAsia" w:ascii="宋体" w:hAnsi="宋体" w:cs="宋体"/>
                <w:b/>
                <w:bCs/>
                <w:szCs w:val="21"/>
              </w:rPr>
              <w:t>7.“采购需求”中所有条款均为实质性要求，若有任意一项负偏离，响应文件作无效处理。</w:t>
            </w:r>
          </w:p>
        </w:tc>
      </w:tr>
    </w:tbl>
    <w:p w14:paraId="00851F38">
      <w:pPr>
        <w:rPr>
          <w:rFonts w:hint="eastAsia"/>
        </w:rPr>
      </w:pPr>
      <w:bookmarkStart w:id="10" w:name="_GoBack"/>
      <w:bookmarkEnd w:id="10"/>
    </w:p>
    <w:tbl>
      <w:tblPr>
        <w:tblStyle w:val="6"/>
        <w:tblpPr w:leftFromText="180" w:rightFromText="180" w:vertAnchor="text" w:horzAnchor="page" w:tblpX="1382" w:tblpY="313"/>
        <w:tblOverlap w:val="never"/>
        <w:tblW w:w="9390" w:type="dxa"/>
        <w:tblInd w:w="0" w:type="dxa"/>
        <w:tblLayout w:type="fixed"/>
        <w:tblCellMar>
          <w:top w:w="0" w:type="dxa"/>
          <w:left w:w="108" w:type="dxa"/>
          <w:bottom w:w="0" w:type="dxa"/>
          <w:right w:w="108" w:type="dxa"/>
        </w:tblCellMar>
      </w:tblPr>
      <w:tblGrid>
        <w:gridCol w:w="866"/>
        <w:gridCol w:w="1276"/>
        <w:gridCol w:w="1134"/>
        <w:gridCol w:w="850"/>
        <w:gridCol w:w="3119"/>
        <w:gridCol w:w="2145"/>
      </w:tblGrid>
      <w:tr w14:paraId="574553A5">
        <w:tblPrEx>
          <w:tblCellMar>
            <w:top w:w="0" w:type="dxa"/>
            <w:left w:w="108" w:type="dxa"/>
            <w:bottom w:w="0" w:type="dxa"/>
            <w:right w:w="108" w:type="dxa"/>
          </w:tblCellMar>
        </w:tblPrEx>
        <w:trPr>
          <w:trHeight w:val="762" w:hRule="atLeast"/>
        </w:trPr>
        <w:tc>
          <w:tcPr>
            <w:tcW w:w="9390" w:type="dxa"/>
            <w:gridSpan w:val="6"/>
            <w:tcBorders>
              <w:top w:val="nil"/>
              <w:left w:val="nil"/>
              <w:bottom w:val="nil"/>
              <w:right w:val="nil"/>
            </w:tcBorders>
            <w:shd w:val="clear" w:color="auto" w:fill="auto"/>
            <w:vAlign w:val="center"/>
          </w:tcPr>
          <w:p w14:paraId="0024874B">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设备维修</w:t>
            </w:r>
            <w:r>
              <w:rPr>
                <w:rFonts w:hint="eastAsia" w:ascii="宋体" w:hAnsi="宋体" w:cs="宋体"/>
                <w:b/>
                <w:bCs/>
                <w:color w:val="000000"/>
                <w:kern w:val="0"/>
                <w:sz w:val="32"/>
                <w:szCs w:val="32"/>
                <w:lang w:eastAsia="zh-CN"/>
              </w:rPr>
              <w:t>、</w:t>
            </w:r>
            <w:r>
              <w:rPr>
                <w:rFonts w:hint="eastAsia" w:ascii="宋体" w:hAnsi="宋体" w:cs="宋体"/>
                <w:b/>
                <w:bCs/>
                <w:color w:val="000000"/>
                <w:kern w:val="0"/>
                <w:sz w:val="32"/>
                <w:szCs w:val="32"/>
                <w:lang w:val="en-US" w:eastAsia="zh-CN"/>
              </w:rPr>
              <w:t>更换</w:t>
            </w:r>
            <w:r>
              <w:rPr>
                <w:rFonts w:hint="eastAsia" w:ascii="宋体" w:hAnsi="宋体" w:cs="宋体"/>
                <w:b/>
                <w:bCs/>
                <w:color w:val="000000"/>
                <w:kern w:val="0"/>
                <w:sz w:val="32"/>
                <w:szCs w:val="32"/>
              </w:rPr>
              <w:t>清单</w:t>
            </w:r>
          </w:p>
        </w:tc>
      </w:tr>
      <w:tr w14:paraId="733FA329">
        <w:tblPrEx>
          <w:tblCellMar>
            <w:top w:w="0" w:type="dxa"/>
            <w:left w:w="108" w:type="dxa"/>
            <w:bottom w:w="0" w:type="dxa"/>
            <w:right w:w="108" w:type="dxa"/>
          </w:tblCellMar>
        </w:tblPrEx>
        <w:trPr>
          <w:wAfter w:w="0" w:type="auto"/>
          <w:trHeight w:val="499" w:hRule="atLeast"/>
        </w:trPr>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14:paraId="33CEFD24">
            <w:pPr>
              <w:widowControl/>
              <w:jc w:val="center"/>
              <w:rPr>
                <w:rFonts w:ascii="宋体" w:hAnsi="宋体" w:cs="宋体"/>
                <w:color w:val="000000"/>
                <w:kern w:val="0"/>
                <w:sz w:val="28"/>
                <w:szCs w:val="28"/>
              </w:rPr>
            </w:pPr>
            <w:r>
              <w:rPr>
                <w:rFonts w:hint="eastAsia" w:ascii="宋体" w:hAnsi="宋体" w:cs="宋体"/>
                <w:color w:val="000000"/>
                <w:kern w:val="0"/>
                <w:sz w:val="28"/>
                <w:szCs w:val="28"/>
              </w:rPr>
              <w:t>序号</w:t>
            </w:r>
          </w:p>
        </w:tc>
        <w:tc>
          <w:tcPr>
            <w:tcW w:w="1276" w:type="dxa"/>
            <w:tcBorders>
              <w:top w:val="single" w:color="auto" w:sz="4" w:space="0"/>
              <w:left w:val="nil"/>
              <w:bottom w:val="single" w:color="auto" w:sz="4" w:space="0"/>
              <w:right w:val="single" w:color="auto" w:sz="4" w:space="0"/>
            </w:tcBorders>
            <w:shd w:val="clear" w:color="auto" w:fill="auto"/>
            <w:vAlign w:val="center"/>
          </w:tcPr>
          <w:p w14:paraId="6815A470">
            <w:pPr>
              <w:widowControl/>
              <w:jc w:val="center"/>
              <w:rPr>
                <w:rFonts w:ascii="宋体" w:hAnsi="宋体" w:cs="宋体"/>
                <w:color w:val="000000"/>
                <w:kern w:val="0"/>
                <w:sz w:val="28"/>
                <w:szCs w:val="28"/>
              </w:rPr>
            </w:pPr>
            <w:r>
              <w:rPr>
                <w:rFonts w:hint="eastAsia" w:ascii="宋体" w:hAnsi="宋体" w:cs="宋体"/>
                <w:color w:val="000000"/>
                <w:kern w:val="0"/>
                <w:sz w:val="28"/>
                <w:szCs w:val="28"/>
              </w:rPr>
              <w:t>设备名称</w:t>
            </w:r>
          </w:p>
        </w:tc>
        <w:tc>
          <w:tcPr>
            <w:tcW w:w="1134" w:type="dxa"/>
            <w:tcBorders>
              <w:top w:val="single" w:color="auto" w:sz="4" w:space="0"/>
              <w:left w:val="nil"/>
              <w:bottom w:val="single" w:color="auto" w:sz="4" w:space="0"/>
              <w:right w:val="single" w:color="auto" w:sz="4" w:space="0"/>
            </w:tcBorders>
            <w:shd w:val="clear" w:color="auto" w:fill="auto"/>
            <w:vAlign w:val="center"/>
          </w:tcPr>
          <w:p w14:paraId="112BC66B">
            <w:pPr>
              <w:widowControl/>
              <w:jc w:val="center"/>
              <w:rPr>
                <w:rFonts w:ascii="宋体" w:hAnsi="宋体" w:cs="宋体"/>
                <w:color w:val="000000"/>
                <w:kern w:val="0"/>
                <w:sz w:val="28"/>
                <w:szCs w:val="28"/>
              </w:rPr>
            </w:pPr>
            <w:r>
              <w:rPr>
                <w:rFonts w:hint="eastAsia" w:ascii="宋体" w:hAnsi="宋体" w:cs="宋体"/>
                <w:color w:val="000000"/>
                <w:kern w:val="0"/>
                <w:sz w:val="28"/>
                <w:szCs w:val="28"/>
              </w:rPr>
              <w:t>位置</w:t>
            </w:r>
          </w:p>
        </w:tc>
        <w:tc>
          <w:tcPr>
            <w:tcW w:w="850" w:type="dxa"/>
            <w:tcBorders>
              <w:top w:val="single" w:color="auto" w:sz="4" w:space="0"/>
              <w:left w:val="nil"/>
              <w:bottom w:val="single" w:color="auto" w:sz="4" w:space="0"/>
              <w:right w:val="single" w:color="auto" w:sz="4" w:space="0"/>
            </w:tcBorders>
            <w:shd w:val="clear" w:color="auto" w:fill="auto"/>
            <w:vAlign w:val="center"/>
          </w:tcPr>
          <w:p w14:paraId="06DAE905">
            <w:pPr>
              <w:widowControl/>
              <w:jc w:val="center"/>
              <w:rPr>
                <w:rFonts w:ascii="宋体" w:hAnsi="宋体" w:cs="宋体"/>
                <w:color w:val="000000"/>
                <w:kern w:val="0"/>
                <w:sz w:val="28"/>
                <w:szCs w:val="28"/>
              </w:rPr>
            </w:pPr>
            <w:r>
              <w:rPr>
                <w:rFonts w:hint="eastAsia" w:ascii="宋体" w:hAnsi="宋体" w:cs="宋体"/>
                <w:color w:val="000000"/>
                <w:kern w:val="0"/>
                <w:sz w:val="28"/>
                <w:szCs w:val="28"/>
              </w:rPr>
              <w:t>数量</w:t>
            </w:r>
          </w:p>
        </w:tc>
        <w:tc>
          <w:tcPr>
            <w:tcW w:w="3119" w:type="dxa"/>
            <w:tcBorders>
              <w:top w:val="single" w:color="auto" w:sz="4" w:space="0"/>
              <w:left w:val="nil"/>
              <w:bottom w:val="single" w:color="auto" w:sz="4" w:space="0"/>
              <w:right w:val="single" w:color="auto" w:sz="4" w:space="0"/>
            </w:tcBorders>
            <w:shd w:val="clear" w:color="auto" w:fill="auto"/>
            <w:vAlign w:val="center"/>
          </w:tcPr>
          <w:p w14:paraId="0F0577AB">
            <w:pPr>
              <w:widowControl/>
              <w:jc w:val="center"/>
              <w:rPr>
                <w:rFonts w:ascii="宋体" w:hAnsi="宋体" w:cs="宋体"/>
                <w:color w:val="000000"/>
                <w:kern w:val="0"/>
                <w:sz w:val="28"/>
                <w:szCs w:val="28"/>
              </w:rPr>
            </w:pPr>
            <w:r>
              <w:rPr>
                <w:rFonts w:hint="eastAsia" w:ascii="宋体" w:hAnsi="宋体" w:cs="宋体"/>
                <w:color w:val="000000"/>
                <w:kern w:val="0"/>
                <w:sz w:val="28"/>
                <w:szCs w:val="28"/>
              </w:rPr>
              <w:t>维修方案</w:t>
            </w:r>
          </w:p>
        </w:tc>
        <w:tc>
          <w:tcPr>
            <w:tcW w:w="2145" w:type="dxa"/>
            <w:tcBorders>
              <w:top w:val="single" w:color="auto" w:sz="4" w:space="0"/>
              <w:left w:val="nil"/>
              <w:bottom w:val="single" w:color="auto" w:sz="4" w:space="0"/>
              <w:right w:val="single" w:color="auto" w:sz="4" w:space="0"/>
            </w:tcBorders>
            <w:shd w:val="clear" w:color="auto" w:fill="auto"/>
            <w:vAlign w:val="center"/>
          </w:tcPr>
          <w:p w14:paraId="4D721E84">
            <w:pPr>
              <w:widowControl/>
              <w:jc w:val="center"/>
              <w:rPr>
                <w:rFonts w:ascii="宋体" w:hAnsi="宋体" w:cs="宋体"/>
                <w:color w:val="000000"/>
                <w:kern w:val="0"/>
                <w:sz w:val="28"/>
                <w:szCs w:val="28"/>
              </w:rPr>
            </w:pPr>
            <w:r>
              <w:rPr>
                <w:rFonts w:hint="eastAsia" w:ascii="宋体" w:hAnsi="宋体" w:cs="宋体"/>
                <w:color w:val="000000"/>
                <w:kern w:val="0"/>
                <w:sz w:val="28"/>
                <w:szCs w:val="28"/>
              </w:rPr>
              <w:t>备注</w:t>
            </w:r>
          </w:p>
        </w:tc>
      </w:tr>
      <w:tr w14:paraId="5792E09F">
        <w:tblPrEx>
          <w:tblCellMar>
            <w:top w:w="0" w:type="dxa"/>
            <w:left w:w="108" w:type="dxa"/>
            <w:bottom w:w="0" w:type="dxa"/>
            <w:right w:w="108" w:type="dxa"/>
          </w:tblCellMar>
        </w:tblPrEx>
        <w:trPr>
          <w:wAfter w:w="0" w:type="auto"/>
          <w:trHeight w:val="900" w:hRule="atLeast"/>
        </w:trPr>
        <w:tc>
          <w:tcPr>
            <w:tcW w:w="866" w:type="dxa"/>
            <w:tcBorders>
              <w:top w:val="nil"/>
              <w:left w:val="single" w:color="auto" w:sz="4" w:space="0"/>
              <w:bottom w:val="single" w:color="auto" w:sz="4" w:space="0"/>
              <w:right w:val="single" w:color="auto" w:sz="4" w:space="0"/>
            </w:tcBorders>
            <w:shd w:val="clear" w:color="auto" w:fill="auto"/>
            <w:vAlign w:val="center"/>
          </w:tcPr>
          <w:p w14:paraId="2BF31DF4">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276" w:type="dxa"/>
            <w:tcBorders>
              <w:top w:val="nil"/>
              <w:left w:val="nil"/>
              <w:bottom w:val="single" w:color="auto" w:sz="4" w:space="0"/>
              <w:right w:val="single" w:color="auto" w:sz="4" w:space="0"/>
            </w:tcBorders>
            <w:shd w:val="clear" w:color="auto" w:fill="auto"/>
            <w:vAlign w:val="center"/>
          </w:tcPr>
          <w:p w14:paraId="42D44525">
            <w:pPr>
              <w:widowControl/>
              <w:rPr>
                <w:rFonts w:ascii="宋体" w:hAnsi="宋体" w:cs="宋体"/>
                <w:color w:val="000000"/>
                <w:kern w:val="0"/>
                <w:sz w:val="24"/>
              </w:rPr>
            </w:pPr>
            <w:r>
              <w:rPr>
                <w:rFonts w:hint="eastAsia" w:ascii="宋体" w:hAnsi="宋体" w:cs="宋体"/>
                <w:color w:val="000000"/>
                <w:kern w:val="0"/>
                <w:sz w:val="24"/>
              </w:rPr>
              <w:t>主电控柜</w:t>
            </w:r>
          </w:p>
        </w:tc>
        <w:tc>
          <w:tcPr>
            <w:tcW w:w="1134" w:type="dxa"/>
            <w:tcBorders>
              <w:top w:val="nil"/>
              <w:left w:val="nil"/>
              <w:bottom w:val="single" w:color="auto" w:sz="4" w:space="0"/>
              <w:right w:val="single" w:color="auto" w:sz="4" w:space="0"/>
            </w:tcBorders>
            <w:shd w:val="clear" w:color="auto" w:fill="auto"/>
            <w:vAlign w:val="center"/>
          </w:tcPr>
          <w:p w14:paraId="50F2BC0A">
            <w:pPr>
              <w:widowControl/>
              <w:rPr>
                <w:rFonts w:ascii="宋体" w:hAnsi="宋体" w:cs="宋体"/>
                <w:color w:val="000000"/>
                <w:kern w:val="0"/>
                <w:sz w:val="24"/>
              </w:rPr>
            </w:pPr>
            <w:r>
              <w:rPr>
                <w:rFonts w:hint="eastAsia" w:ascii="宋体" w:hAnsi="宋体" w:cs="宋体"/>
                <w:color w:val="000000"/>
                <w:kern w:val="0"/>
                <w:sz w:val="24"/>
              </w:rPr>
              <w:t>设备间</w:t>
            </w:r>
          </w:p>
        </w:tc>
        <w:tc>
          <w:tcPr>
            <w:tcW w:w="850" w:type="dxa"/>
            <w:tcBorders>
              <w:top w:val="nil"/>
              <w:left w:val="nil"/>
              <w:bottom w:val="single" w:color="auto" w:sz="4" w:space="0"/>
              <w:right w:val="single" w:color="auto" w:sz="4" w:space="0"/>
            </w:tcBorders>
            <w:shd w:val="clear" w:color="auto" w:fill="auto"/>
            <w:vAlign w:val="center"/>
          </w:tcPr>
          <w:p w14:paraId="72207064">
            <w:pPr>
              <w:widowControl/>
              <w:rPr>
                <w:rFonts w:ascii="宋体" w:hAnsi="宋体" w:cs="宋体"/>
                <w:color w:val="000000"/>
                <w:kern w:val="0"/>
                <w:sz w:val="24"/>
              </w:rPr>
            </w:pPr>
            <w:r>
              <w:rPr>
                <w:rFonts w:hint="eastAsia" w:ascii="宋体" w:hAnsi="宋体" w:cs="宋体"/>
                <w:color w:val="000000"/>
                <w:kern w:val="0"/>
                <w:sz w:val="24"/>
              </w:rPr>
              <w:t>1套</w:t>
            </w:r>
          </w:p>
        </w:tc>
        <w:tc>
          <w:tcPr>
            <w:tcW w:w="3119" w:type="dxa"/>
            <w:tcBorders>
              <w:top w:val="nil"/>
              <w:left w:val="nil"/>
              <w:bottom w:val="single" w:color="auto" w:sz="4" w:space="0"/>
              <w:right w:val="single" w:color="auto" w:sz="4" w:space="0"/>
            </w:tcBorders>
            <w:shd w:val="clear" w:color="auto" w:fill="auto"/>
            <w:vAlign w:val="center"/>
          </w:tcPr>
          <w:p w14:paraId="2F338654">
            <w:pPr>
              <w:widowControl/>
              <w:rPr>
                <w:rFonts w:ascii="宋体" w:hAnsi="宋体" w:cs="宋体"/>
                <w:color w:val="000000"/>
                <w:kern w:val="0"/>
                <w:sz w:val="24"/>
              </w:rPr>
            </w:pPr>
            <w:r>
              <w:rPr>
                <w:rFonts w:hint="eastAsia" w:ascii="宋体" w:hAnsi="宋体" w:cs="宋体"/>
                <w:color w:val="000000"/>
                <w:kern w:val="0"/>
                <w:sz w:val="24"/>
              </w:rPr>
              <w:t>拆除并更换内部浸水电气元件</w:t>
            </w:r>
          </w:p>
        </w:tc>
        <w:tc>
          <w:tcPr>
            <w:tcW w:w="2145" w:type="dxa"/>
            <w:tcBorders>
              <w:top w:val="nil"/>
              <w:left w:val="nil"/>
              <w:bottom w:val="single" w:color="auto" w:sz="4" w:space="0"/>
              <w:right w:val="single" w:color="auto" w:sz="4" w:space="0"/>
            </w:tcBorders>
            <w:shd w:val="clear" w:color="auto" w:fill="auto"/>
            <w:vAlign w:val="center"/>
          </w:tcPr>
          <w:p w14:paraId="10912D33">
            <w:pPr>
              <w:widowControl/>
              <w:jc w:val="left"/>
              <w:rPr>
                <w:rFonts w:ascii="宋体" w:hAnsi="宋体" w:cs="宋体"/>
                <w:color w:val="000000"/>
                <w:kern w:val="0"/>
                <w:sz w:val="24"/>
              </w:rPr>
            </w:pPr>
          </w:p>
        </w:tc>
      </w:tr>
      <w:tr w14:paraId="60DBE912">
        <w:tblPrEx>
          <w:tblCellMar>
            <w:top w:w="0" w:type="dxa"/>
            <w:left w:w="108" w:type="dxa"/>
            <w:bottom w:w="0" w:type="dxa"/>
            <w:right w:w="108" w:type="dxa"/>
          </w:tblCellMar>
        </w:tblPrEx>
        <w:trPr>
          <w:wAfter w:w="0" w:type="auto"/>
          <w:trHeight w:val="900" w:hRule="atLeast"/>
        </w:trPr>
        <w:tc>
          <w:tcPr>
            <w:tcW w:w="866" w:type="dxa"/>
            <w:tcBorders>
              <w:top w:val="nil"/>
              <w:left w:val="single" w:color="auto" w:sz="4" w:space="0"/>
              <w:bottom w:val="single" w:color="auto" w:sz="4" w:space="0"/>
              <w:right w:val="single" w:color="auto" w:sz="4" w:space="0"/>
            </w:tcBorders>
            <w:shd w:val="clear" w:color="auto" w:fill="auto"/>
            <w:vAlign w:val="center"/>
          </w:tcPr>
          <w:p w14:paraId="008E6EED">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276" w:type="dxa"/>
            <w:tcBorders>
              <w:top w:val="nil"/>
              <w:left w:val="nil"/>
              <w:bottom w:val="single" w:color="auto" w:sz="4" w:space="0"/>
              <w:right w:val="single" w:color="auto" w:sz="4" w:space="0"/>
            </w:tcBorders>
            <w:shd w:val="clear" w:color="auto" w:fill="auto"/>
            <w:vAlign w:val="center"/>
          </w:tcPr>
          <w:p w14:paraId="5B16E39C">
            <w:pPr>
              <w:widowControl/>
              <w:rPr>
                <w:rFonts w:ascii="宋体" w:hAnsi="宋体" w:cs="宋体"/>
                <w:color w:val="000000"/>
                <w:kern w:val="0"/>
                <w:sz w:val="24"/>
              </w:rPr>
            </w:pPr>
            <w:r>
              <w:rPr>
                <w:rFonts w:hint="eastAsia" w:ascii="宋体" w:hAnsi="宋体" w:cs="宋体"/>
                <w:color w:val="000000"/>
                <w:kern w:val="0"/>
                <w:sz w:val="24"/>
              </w:rPr>
              <w:t>空气压缩机</w:t>
            </w:r>
          </w:p>
        </w:tc>
        <w:tc>
          <w:tcPr>
            <w:tcW w:w="1134" w:type="dxa"/>
            <w:tcBorders>
              <w:top w:val="nil"/>
              <w:left w:val="nil"/>
              <w:bottom w:val="single" w:color="auto" w:sz="4" w:space="0"/>
              <w:right w:val="single" w:color="auto" w:sz="4" w:space="0"/>
            </w:tcBorders>
            <w:shd w:val="clear" w:color="auto" w:fill="auto"/>
            <w:vAlign w:val="center"/>
          </w:tcPr>
          <w:p w14:paraId="1AFBF975">
            <w:pPr>
              <w:widowControl/>
              <w:rPr>
                <w:rFonts w:ascii="宋体" w:hAnsi="宋体" w:cs="宋体"/>
                <w:color w:val="000000"/>
                <w:kern w:val="0"/>
                <w:sz w:val="24"/>
              </w:rPr>
            </w:pPr>
            <w:r>
              <w:rPr>
                <w:rFonts w:hint="eastAsia" w:ascii="宋体" w:hAnsi="宋体" w:cs="宋体"/>
                <w:color w:val="000000"/>
                <w:kern w:val="0"/>
                <w:sz w:val="24"/>
              </w:rPr>
              <w:t>设备间</w:t>
            </w:r>
          </w:p>
        </w:tc>
        <w:tc>
          <w:tcPr>
            <w:tcW w:w="850" w:type="dxa"/>
            <w:tcBorders>
              <w:top w:val="nil"/>
              <w:left w:val="nil"/>
              <w:bottom w:val="single" w:color="auto" w:sz="4" w:space="0"/>
              <w:right w:val="single" w:color="auto" w:sz="4" w:space="0"/>
            </w:tcBorders>
            <w:shd w:val="clear" w:color="auto" w:fill="auto"/>
            <w:vAlign w:val="center"/>
          </w:tcPr>
          <w:p w14:paraId="7BCDEE1E">
            <w:pPr>
              <w:widowControl/>
              <w:rPr>
                <w:rFonts w:ascii="宋体" w:hAnsi="宋体" w:cs="宋体"/>
                <w:color w:val="000000"/>
                <w:kern w:val="0"/>
                <w:sz w:val="24"/>
              </w:rPr>
            </w:pPr>
            <w:r>
              <w:rPr>
                <w:rFonts w:hint="eastAsia" w:ascii="宋体" w:hAnsi="宋体" w:cs="宋体"/>
                <w:color w:val="000000"/>
                <w:kern w:val="0"/>
                <w:sz w:val="24"/>
              </w:rPr>
              <w:t>1套</w:t>
            </w:r>
          </w:p>
        </w:tc>
        <w:tc>
          <w:tcPr>
            <w:tcW w:w="3119" w:type="dxa"/>
            <w:tcBorders>
              <w:top w:val="nil"/>
              <w:left w:val="nil"/>
              <w:bottom w:val="single" w:color="auto" w:sz="4" w:space="0"/>
              <w:right w:val="single" w:color="auto" w:sz="4" w:space="0"/>
            </w:tcBorders>
            <w:shd w:val="clear" w:color="auto" w:fill="auto"/>
            <w:vAlign w:val="center"/>
          </w:tcPr>
          <w:p w14:paraId="3ED6F2C9">
            <w:pPr>
              <w:widowControl/>
              <w:rPr>
                <w:rFonts w:ascii="宋体" w:hAnsi="宋体" w:cs="宋体"/>
                <w:color w:val="000000"/>
                <w:kern w:val="0"/>
                <w:sz w:val="24"/>
              </w:rPr>
            </w:pPr>
            <w:r>
              <w:rPr>
                <w:rFonts w:hint="eastAsia" w:ascii="宋体" w:hAnsi="宋体" w:cs="宋体"/>
                <w:color w:val="000000"/>
                <w:kern w:val="0"/>
                <w:sz w:val="24"/>
              </w:rPr>
              <w:t>更换浸水电气元件，烘干内部配件</w:t>
            </w:r>
          </w:p>
        </w:tc>
        <w:tc>
          <w:tcPr>
            <w:tcW w:w="2145" w:type="dxa"/>
            <w:tcBorders>
              <w:top w:val="nil"/>
              <w:left w:val="nil"/>
              <w:bottom w:val="single" w:color="auto" w:sz="4" w:space="0"/>
              <w:right w:val="single" w:color="auto" w:sz="4" w:space="0"/>
            </w:tcBorders>
            <w:shd w:val="clear" w:color="auto" w:fill="auto"/>
            <w:vAlign w:val="center"/>
          </w:tcPr>
          <w:p w14:paraId="119C72BC">
            <w:pPr>
              <w:widowControl/>
              <w:jc w:val="left"/>
              <w:rPr>
                <w:rFonts w:ascii="宋体" w:hAnsi="宋体" w:cs="宋体"/>
                <w:color w:val="000000"/>
                <w:kern w:val="0"/>
                <w:sz w:val="24"/>
              </w:rPr>
            </w:pPr>
            <w:r>
              <w:rPr>
                <w:rFonts w:hint="eastAsia" w:ascii="宋体" w:hAnsi="宋体" w:cs="宋体"/>
                <w:color w:val="000000"/>
                <w:kern w:val="0"/>
                <w:sz w:val="24"/>
              </w:rPr>
              <w:t>　</w:t>
            </w:r>
          </w:p>
        </w:tc>
      </w:tr>
      <w:tr w14:paraId="3B808538">
        <w:tblPrEx>
          <w:tblCellMar>
            <w:top w:w="0" w:type="dxa"/>
            <w:left w:w="108" w:type="dxa"/>
            <w:bottom w:w="0" w:type="dxa"/>
            <w:right w:w="108" w:type="dxa"/>
          </w:tblCellMar>
        </w:tblPrEx>
        <w:trPr>
          <w:wAfter w:w="0" w:type="auto"/>
          <w:trHeight w:val="900" w:hRule="atLeast"/>
        </w:trPr>
        <w:tc>
          <w:tcPr>
            <w:tcW w:w="866" w:type="dxa"/>
            <w:tcBorders>
              <w:top w:val="nil"/>
              <w:left w:val="single" w:color="auto" w:sz="4" w:space="0"/>
              <w:bottom w:val="single" w:color="auto" w:sz="4" w:space="0"/>
              <w:right w:val="single" w:color="auto" w:sz="4" w:space="0"/>
            </w:tcBorders>
            <w:shd w:val="clear" w:color="auto" w:fill="auto"/>
            <w:vAlign w:val="center"/>
          </w:tcPr>
          <w:p w14:paraId="630116BA">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1276" w:type="dxa"/>
            <w:tcBorders>
              <w:top w:val="nil"/>
              <w:left w:val="nil"/>
              <w:bottom w:val="single" w:color="auto" w:sz="4" w:space="0"/>
              <w:right w:val="single" w:color="auto" w:sz="4" w:space="0"/>
            </w:tcBorders>
            <w:shd w:val="clear" w:color="auto" w:fill="auto"/>
            <w:vAlign w:val="center"/>
          </w:tcPr>
          <w:p w14:paraId="40F0D16A">
            <w:pPr>
              <w:widowControl/>
              <w:rPr>
                <w:rFonts w:ascii="宋体" w:hAnsi="宋体" w:cs="宋体"/>
                <w:color w:val="000000"/>
                <w:kern w:val="0"/>
                <w:sz w:val="24"/>
              </w:rPr>
            </w:pPr>
            <w:r>
              <w:rPr>
                <w:rFonts w:hint="eastAsia" w:ascii="宋体" w:hAnsi="宋体" w:cs="宋体"/>
                <w:color w:val="000000"/>
                <w:kern w:val="0"/>
                <w:sz w:val="24"/>
              </w:rPr>
              <w:t>罗茨风机电机</w:t>
            </w:r>
          </w:p>
        </w:tc>
        <w:tc>
          <w:tcPr>
            <w:tcW w:w="1134" w:type="dxa"/>
            <w:tcBorders>
              <w:top w:val="nil"/>
              <w:left w:val="nil"/>
              <w:bottom w:val="single" w:color="auto" w:sz="4" w:space="0"/>
              <w:right w:val="single" w:color="auto" w:sz="4" w:space="0"/>
            </w:tcBorders>
            <w:shd w:val="clear" w:color="auto" w:fill="auto"/>
            <w:vAlign w:val="center"/>
          </w:tcPr>
          <w:p w14:paraId="7E44167C">
            <w:pPr>
              <w:widowControl/>
              <w:rPr>
                <w:rFonts w:ascii="宋体" w:hAnsi="宋体" w:cs="宋体"/>
                <w:color w:val="000000"/>
                <w:kern w:val="0"/>
                <w:sz w:val="24"/>
              </w:rPr>
            </w:pPr>
            <w:r>
              <w:rPr>
                <w:rFonts w:hint="eastAsia" w:ascii="宋体" w:hAnsi="宋体" w:cs="宋体"/>
                <w:color w:val="000000"/>
                <w:kern w:val="0"/>
                <w:sz w:val="24"/>
              </w:rPr>
              <w:t>设备间</w:t>
            </w:r>
          </w:p>
        </w:tc>
        <w:tc>
          <w:tcPr>
            <w:tcW w:w="850" w:type="dxa"/>
            <w:tcBorders>
              <w:top w:val="nil"/>
              <w:left w:val="nil"/>
              <w:bottom w:val="single" w:color="auto" w:sz="4" w:space="0"/>
              <w:right w:val="single" w:color="auto" w:sz="4" w:space="0"/>
            </w:tcBorders>
            <w:shd w:val="clear" w:color="auto" w:fill="auto"/>
            <w:vAlign w:val="center"/>
          </w:tcPr>
          <w:p w14:paraId="0E3626E2">
            <w:pPr>
              <w:widowControl/>
              <w:rPr>
                <w:rFonts w:ascii="宋体" w:hAnsi="宋体" w:cs="宋体"/>
                <w:color w:val="000000"/>
                <w:kern w:val="0"/>
                <w:sz w:val="24"/>
              </w:rPr>
            </w:pPr>
            <w:r>
              <w:rPr>
                <w:rFonts w:hint="eastAsia" w:ascii="宋体" w:hAnsi="宋体" w:cs="宋体"/>
                <w:color w:val="000000"/>
                <w:kern w:val="0"/>
                <w:sz w:val="24"/>
              </w:rPr>
              <w:t>3台</w:t>
            </w:r>
          </w:p>
        </w:tc>
        <w:tc>
          <w:tcPr>
            <w:tcW w:w="3119" w:type="dxa"/>
            <w:tcBorders>
              <w:top w:val="nil"/>
              <w:left w:val="nil"/>
              <w:bottom w:val="single" w:color="auto" w:sz="4" w:space="0"/>
              <w:right w:val="single" w:color="auto" w:sz="4" w:space="0"/>
            </w:tcBorders>
            <w:shd w:val="clear" w:color="auto" w:fill="auto"/>
            <w:vAlign w:val="center"/>
          </w:tcPr>
          <w:p w14:paraId="05023CC6">
            <w:pPr>
              <w:widowControl/>
              <w:rPr>
                <w:rFonts w:ascii="宋体" w:hAnsi="宋体" w:cs="宋体"/>
                <w:color w:val="000000"/>
                <w:kern w:val="0"/>
                <w:sz w:val="24"/>
              </w:rPr>
            </w:pPr>
            <w:r>
              <w:rPr>
                <w:rFonts w:hint="eastAsia" w:ascii="宋体" w:hAnsi="宋体" w:cs="宋体"/>
                <w:color w:val="000000"/>
                <w:kern w:val="0"/>
                <w:sz w:val="24"/>
              </w:rPr>
              <w:t>拆卸并烘干浸水电机</w:t>
            </w:r>
          </w:p>
        </w:tc>
        <w:tc>
          <w:tcPr>
            <w:tcW w:w="2145" w:type="dxa"/>
            <w:tcBorders>
              <w:top w:val="nil"/>
              <w:left w:val="nil"/>
              <w:bottom w:val="single" w:color="auto" w:sz="4" w:space="0"/>
              <w:right w:val="single" w:color="auto" w:sz="4" w:space="0"/>
            </w:tcBorders>
            <w:shd w:val="clear" w:color="auto" w:fill="auto"/>
            <w:vAlign w:val="center"/>
          </w:tcPr>
          <w:p w14:paraId="7B251832">
            <w:pPr>
              <w:widowControl/>
              <w:jc w:val="left"/>
              <w:rPr>
                <w:rFonts w:ascii="宋体" w:hAnsi="宋体" w:cs="宋体"/>
                <w:color w:val="000000"/>
                <w:kern w:val="0"/>
                <w:sz w:val="24"/>
              </w:rPr>
            </w:pPr>
            <w:r>
              <w:rPr>
                <w:rFonts w:hint="eastAsia" w:ascii="宋体" w:hAnsi="宋体" w:cs="宋体"/>
                <w:color w:val="000000"/>
                <w:kern w:val="0"/>
                <w:sz w:val="24"/>
              </w:rPr>
              <w:t>　</w:t>
            </w:r>
          </w:p>
        </w:tc>
      </w:tr>
      <w:tr w14:paraId="015D1844">
        <w:tblPrEx>
          <w:tblCellMar>
            <w:top w:w="0" w:type="dxa"/>
            <w:left w:w="108" w:type="dxa"/>
            <w:bottom w:w="0" w:type="dxa"/>
            <w:right w:w="108" w:type="dxa"/>
          </w:tblCellMar>
        </w:tblPrEx>
        <w:trPr>
          <w:wAfter w:w="0" w:type="auto"/>
          <w:trHeight w:val="900" w:hRule="atLeast"/>
        </w:trPr>
        <w:tc>
          <w:tcPr>
            <w:tcW w:w="866" w:type="dxa"/>
            <w:tcBorders>
              <w:top w:val="nil"/>
              <w:left w:val="single" w:color="auto" w:sz="4" w:space="0"/>
              <w:bottom w:val="single" w:color="auto" w:sz="4" w:space="0"/>
              <w:right w:val="single" w:color="auto" w:sz="4" w:space="0"/>
            </w:tcBorders>
            <w:shd w:val="clear" w:color="auto" w:fill="auto"/>
            <w:vAlign w:val="center"/>
          </w:tcPr>
          <w:p w14:paraId="43F54101">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1276" w:type="dxa"/>
            <w:tcBorders>
              <w:top w:val="nil"/>
              <w:left w:val="nil"/>
              <w:bottom w:val="single" w:color="auto" w:sz="4" w:space="0"/>
              <w:right w:val="single" w:color="auto" w:sz="4" w:space="0"/>
            </w:tcBorders>
            <w:shd w:val="clear" w:color="auto" w:fill="auto"/>
            <w:vAlign w:val="center"/>
          </w:tcPr>
          <w:p w14:paraId="32B8D1F0">
            <w:pPr>
              <w:widowControl/>
              <w:rPr>
                <w:rFonts w:ascii="宋体" w:hAnsi="宋体" w:cs="宋体"/>
                <w:color w:val="000000"/>
                <w:kern w:val="0"/>
                <w:sz w:val="24"/>
              </w:rPr>
            </w:pPr>
            <w:r>
              <w:rPr>
                <w:rFonts w:hint="eastAsia" w:ascii="宋体" w:hAnsi="宋体" w:cs="宋体"/>
                <w:color w:val="000000"/>
                <w:kern w:val="0"/>
                <w:sz w:val="24"/>
              </w:rPr>
              <w:t>消毒加药泵</w:t>
            </w:r>
          </w:p>
        </w:tc>
        <w:tc>
          <w:tcPr>
            <w:tcW w:w="1134" w:type="dxa"/>
            <w:tcBorders>
              <w:top w:val="nil"/>
              <w:left w:val="nil"/>
              <w:bottom w:val="single" w:color="auto" w:sz="4" w:space="0"/>
              <w:right w:val="single" w:color="auto" w:sz="4" w:space="0"/>
            </w:tcBorders>
            <w:shd w:val="clear" w:color="auto" w:fill="auto"/>
            <w:vAlign w:val="center"/>
          </w:tcPr>
          <w:p w14:paraId="48B9BA3A">
            <w:pPr>
              <w:widowControl/>
              <w:rPr>
                <w:rFonts w:ascii="宋体" w:hAnsi="宋体" w:cs="宋体"/>
                <w:color w:val="000000"/>
                <w:kern w:val="0"/>
                <w:sz w:val="24"/>
              </w:rPr>
            </w:pPr>
            <w:r>
              <w:rPr>
                <w:rFonts w:hint="eastAsia" w:ascii="宋体" w:hAnsi="宋体" w:cs="宋体"/>
                <w:color w:val="000000"/>
                <w:kern w:val="0"/>
                <w:sz w:val="24"/>
              </w:rPr>
              <w:t>设备间</w:t>
            </w:r>
          </w:p>
        </w:tc>
        <w:tc>
          <w:tcPr>
            <w:tcW w:w="850" w:type="dxa"/>
            <w:tcBorders>
              <w:top w:val="nil"/>
              <w:left w:val="nil"/>
              <w:bottom w:val="single" w:color="auto" w:sz="4" w:space="0"/>
              <w:right w:val="single" w:color="auto" w:sz="4" w:space="0"/>
            </w:tcBorders>
            <w:shd w:val="clear" w:color="auto" w:fill="auto"/>
            <w:vAlign w:val="center"/>
          </w:tcPr>
          <w:p w14:paraId="2B946127">
            <w:pPr>
              <w:widowControl/>
              <w:rPr>
                <w:rFonts w:ascii="宋体" w:hAnsi="宋体" w:cs="宋体"/>
                <w:color w:val="000000"/>
                <w:kern w:val="0"/>
                <w:sz w:val="24"/>
              </w:rPr>
            </w:pPr>
            <w:r>
              <w:rPr>
                <w:rFonts w:hint="eastAsia" w:ascii="宋体" w:hAnsi="宋体" w:cs="宋体"/>
                <w:color w:val="000000"/>
                <w:kern w:val="0"/>
                <w:sz w:val="24"/>
              </w:rPr>
              <w:t>1台</w:t>
            </w:r>
          </w:p>
        </w:tc>
        <w:tc>
          <w:tcPr>
            <w:tcW w:w="3119" w:type="dxa"/>
            <w:tcBorders>
              <w:top w:val="nil"/>
              <w:left w:val="nil"/>
              <w:bottom w:val="single" w:color="auto" w:sz="4" w:space="0"/>
              <w:right w:val="single" w:color="auto" w:sz="4" w:space="0"/>
            </w:tcBorders>
            <w:shd w:val="clear" w:color="auto" w:fill="auto"/>
            <w:vAlign w:val="center"/>
          </w:tcPr>
          <w:p w14:paraId="7BD06D6E">
            <w:pPr>
              <w:widowControl/>
              <w:rPr>
                <w:rFonts w:ascii="宋体" w:hAnsi="宋体" w:cs="宋体"/>
                <w:color w:val="000000"/>
                <w:kern w:val="0"/>
                <w:sz w:val="24"/>
              </w:rPr>
            </w:pPr>
            <w:r>
              <w:rPr>
                <w:rFonts w:hint="eastAsia" w:ascii="宋体" w:hAnsi="宋体" w:cs="宋体"/>
                <w:color w:val="000000"/>
                <w:kern w:val="0"/>
                <w:sz w:val="24"/>
              </w:rPr>
              <w:t>更换新设备</w:t>
            </w:r>
          </w:p>
        </w:tc>
        <w:tc>
          <w:tcPr>
            <w:tcW w:w="2145" w:type="dxa"/>
            <w:tcBorders>
              <w:top w:val="nil"/>
              <w:left w:val="nil"/>
              <w:bottom w:val="single" w:color="auto" w:sz="4" w:space="0"/>
              <w:right w:val="single" w:color="auto" w:sz="4" w:space="0"/>
            </w:tcBorders>
            <w:shd w:val="clear" w:color="auto" w:fill="auto"/>
            <w:vAlign w:val="center"/>
          </w:tcPr>
          <w:p w14:paraId="44D9806C">
            <w:pPr>
              <w:widowControl/>
              <w:jc w:val="left"/>
              <w:rPr>
                <w:rFonts w:ascii="宋体" w:hAnsi="宋体" w:cs="宋体"/>
                <w:color w:val="000000"/>
                <w:kern w:val="0"/>
                <w:sz w:val="24"/>
              </w:rPr>
            </w:pPr>
            <w:r>
              <w:rPr>
                <w:rFonts w:hint="eastAsia" w:ascii="宋体" w:hAnsi="宋体" w:cs="宋体"/>
                <w:color w:val="000000"/>
                <w:kern w:val="0"/>
                <w:sz w:val="24"/>
              </w:rPr>
              <w:t>机械隔膜泵</w:t>
            </w:r>
          </w:p>
        </w:tc>
      </w:tr>
      <w:tr w14:paraId="49BCEA65">
        <w:tblPrEx>
          <w:tblCellMar>
            <w:top w:w="0" w:type="dxa"/>
            <w:left w:w="108" w:type="dxa"/>
            <w:bottom w:w="0" w:type="dxa"/>
            <w:right w:w="108" w:type="dxa"/>
          </w:tblCellMar>
        </w:tblPrEx>
        <w:trPr>
          <w:wAfter w:w="0" w:type="auto"/>
          <w:trHeight w:val="900" w:hRule="atLeast"/>
        </w:trPr>
        <w:tc>
          <w:tcPr>
            <w:tcW w:w="866" w:type="dxa"/>
            <w:tcBorders>
              <w:top w:val="nil"/>
              <w:left w:val="single" w:color="auto" w:sz="4" w:space="0"/>
              <w:bottom w:val="single" w:color="auto" w:sz="4" w:space="0"/>
              <w:right w:val="single" w:color="auto" w:sz="4" w:space="0"/>
            </w:tcBorders>
            <w:shd w:val="clear" w:color="auto" w:fill="auto"/>
            <w:vAlign w:val="center"/>
          </w:tcPr>
          <w:p w14:paraId="394B5290">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nil"/>
              <w:left w:val="nil"/>
              <w:bottom w:val="single" w:color="auto" w:sz="4" w:space="0"/>
              <w:right w:val="single" w:color="auto" w:sz="4" w:space="0"/>
            </w:tcBorders>
            <w:shd w:val="clear" w:color="auto" w:fill="auto"/>
            <w:vAlign w:val="center"/>
          </w:tcPr>
          <w:p w14:paraId="2E439224">
            <w:pPr>
              <w:widowControl/>
              <w:rPr>
                <w:rFonts w:ascii="宋体" w:hAnsi="宋体" w:cs="宋体"/>
                <w:color w:val="000000"/>
                <w:kern w:val="0"/>
                <w:sz w:val="24"/>
              </w:rPr>
            </w:pPr>
            <w:r>
              <w:rPr>
                <w:rFonts w:hint="eastAsia" w:ascii="宋体" w:hAnsi="宋体" w:cs="宋体"/>
                <w:color w:val="000000"/>
                <w:kern w:val="0"/>
                <w:sz w:val="24"/>
              </w:rPr>
              <w:t>PAM加药泵</w:t>
            </w:r>
          </w:p>
        </w:tc>
        <w:tc>
          <w:tcPr>
            <w:tcW w:w="1134" w:type="dxa"/>
            <w:tcBorders>
              <w:top w:val="nil"/>
              <w:left w:val="nil"/>
              <w:bottom w:val="single" w:color="auto" w:sz="4" w:space="0"/>
              <w:right w:val="single" w:color="auto" w:sz="4" w:space="0"/>
            </w:tcBorders>
            <w:shd w:val="clear" w:color="auto" w:fill="auto"/>
            <w:vAlign w:val="center"/>
          </w:tcPr>
          <w:p w14:paraId="4C4A8C7A">
            <w:pPr>
              <w:widowControl/>
              <w:rPr>
                <w:rFonts w:ascii="宋体" w:hAnsi="宋体" w:cs="宋体"/>
                <w:color w:val="000000"/>
                <w:kern w:val="0"/>
                <w:sz w:val="24"/>
              </w:rPr>
            </w:pPr>
            <w:r>
              <w:rPr>
                <w:rFonts w:hint="eastAsia" w:ascii="宋体" w:hAnsi="宋体" w:cs="宋体"/>
                <w:color w:val="000000"/>
                <w:kern w:val="0"/>
                <w:sz w:val="24"/>
              </w:rPr>
              <w:t>设备间</w:t>
            </w:r>
          </w:p>
        </w:tc>
        <w:tc>
          <w:tcPr>
            <w:tcW w:w="850" w:type="dxa"/>
            <w:tcBorders>
              <w:top w:val="nil"/>
              <w:left w:val="nil"/>
              <w:bottom w:val="single" w:color="auto" w:sz="4" w:space="0"/>
              <w:right w:val="single" w:color="auto" w:sz="4" w:space="0"/>
            </w:tcBorders>
            <w:shd w:val="clear" w:color="auto" w:fill="auto"/>
            <w:vAlign w:val="center"/>
          </w:tcPr>
          <w:p w14:paraId="71FC4BC8">
            <w:pPr>
              <w:widowControl/>
              <w:rPr>
                <w:rFonts w:ascii="宋体" w:hAnsi="宋体" w:cs="宋体"/>
                <w:color w:val="000000"/>
                <w:kern w:val="0"/>
                <w:sz w:val="24"/>
              </w:rPr>
            </w:pPr>
            <w:r>
              <w:rPr>
                <w:rFonts w:hint="eastAsia" w:ascii="宋体" w:hAnsi="宋体" w:cs="宋体"/>
                <w:color w:val="000000"/>
                <w:kern w:val="0"/>
                <w:sz w:val="24"/>
              </w:rPr>
              <w:t>1台</w:t>
            </w:r>
          </w:p>
        </w:tc>
        <w:tc>
          <w:tcPr>
            <w:tcW w:w="3119" w:type="dxa"/>
            <w:tcBorders>
              <w:top w:val="nil"/>
              <w:left w:val="nil"/>
              <w:bottom w:val="single" w:color="auto" w:sz="4" w:space="0"/>
              <w:right w:val="single" w:color="auto" w:sz="4" w:space="0"/>
            </w:tcBorders>
            <w:shd w:val="clear" w:color="auto" w:fill="auto"/>
            <w:vAlign w:val="center"/>
          </w:tcPr>
          <w:p w14:paraId="4E515DBF">
            <w:pPr>
              <w:widowControl/>
              <w:rPr>
                <w:rFonts w:ascii="宋体" w:hAnsi="宋体" w:cs="宋体"/>
                <w:color w:val="000000"/>
                <w:kern w:val="0"/>
                <w:sz w:val="24"/>
              </w:rPr>
            </w:pPr>
            <w:r>
              <w:rPr>
                <w:rFonts w:hint="eastAsia" w:ascii="宋体" w:hAnsi="宋体" w:cs="宋体"/>
                <w:color w:val="000000"/>
                <w:kern w:val="0"/>
                <w:sz w:val="24"/>
              </w:rPr>
              <w:t>更换新设备</w:t>
            </w:r>
          </w:p>
        </w:tc>
        <w:tc>
          <w:tcPr>
            <w:tcW w:w="2145" w:type="dxa"/>
            <w:tcBorders>
              <w:top w:val="nil"/>
              <w:left w:val="nil"/>
              <w:bottom w:val="single" w:color="auto" w:sz="4" w:space="0"/>
              <w:right w:val="single" w:color="auto" w:sz="4" w:space="0"/>
            </w:tcBorders>
            <w:shd w:val="clear" w:color="auto" w:fill="auto"/>
            <w:vAlign w:val="center"/>
          </w:tcPr>
          <w:p w14:paraId="777D186D">
            <w:pPr>
              <w:widowControl/>
              <w:jc w:val="left"/>
              <w:rPr>
                <w:rFonts w:ascii="宋体" w:hAnsi="宋体" w:cs="宋体"/>
                <w:color w:val="000000"/>
                <w:kern w:val="0"/>
                <w:sz w:val="24"/>
              </w:rPr>
            </w:pPr>
            <w:r>
              <w:rPr>
                <w:rFonts w:hint="eastAsia" w:ascii="宋体" w:hAnsi="宋体" w:cs="宋体"/>
                <w:color w:val="000000"/>
                <w:kern w:val="0"/>
                <w:sz w:val="24"/>
              </w:rPr>
              <w:t>自吸泵</w:t>
            </w:r>
          </w:p>
        </w:tc>
      </w:tr>
      <w:tr w14:paraId="02DB272E">
        <w:tblPrEx>
          <w:tblCellMar>
            <w:top w:w="0" w:type="dxa"/>
            <w:left w:w="108" w:type="dxa"/>
            <w:bottom w:w="0" w:type="dxa"/>
            <w:right w:w="108" w:type="dxa"/>
          </w:tblCellMar>
        </w:tblPrEx>
        <w:trPr>
          <w:wAfter w:w="0" w:type="auto"/>
          <w:trHeight w:val="900" w:hRule="atLeast"/>
        </w:trPr>
        <w:tc>
          <w:tcPr>
            <w:tcW w:w="866" w:type="dxa"/>
            <w:tcBorders>
              <w:top w:val="nil"/>
              <w:left w:val="single" w:color="auto" w:sz="4" w:space="0"/>
              <w:bottom w:val="single" w:color="auto" w:sz="4" w:space="0"/>
              <w:right w:val="single" w:color="auto" w:sz="4" w:space="0"/>
            </w:tcBorders>
            <w:shd w:val="clear" w:color="auto" w:fill="auto"/>
            <w:vAlign w:val="center"/>
          </w:tcPr>
          <w:p w14:paraId="3D66123E">
            <w:pPr>
              <w:widowControl/>
              <w:jc w:val="center"/>
              <w:rPr>
                <w:rFonts w:ascii="宋体" w:hAnsi="宋体" w:cs="宋体"/>
                <w:color w:val="000000"/>
                <w:kern w:val="0"/>
                <w:sz w:val="24"/>
              </w:rPr>
            </w:pPr>
            <w:r>
              <w:rPr>
                <w:rFonts w:hint="eastAsia" w:ascii="宋体" w:hAnsi="宋体" w:cs="宋体"/>
                <w:color w:val="000000"/>
                <w:kern w:val="0"/>
                <w:sz w:val="24"/>
              </w:rPr>
              <w:t>6</w:t>
            </w:r>
          </w:p>
        </w:tc>
        <w:tc>
          <w:tcPr>
            <w:tcW w:w="1276" w:type="dxa"/>
            <w:tcBorders>
              <w:top w:val="nil"/>
              <w:left w:val="nil"/>
              <w:bottom w:val="single" w:color="auto" w:sz="4" w:space="0"/>
              <w:right w:val="single" w:color="auto" w:sz="4" w:space="0"/>
            </w:tcBorders>
            <w:shd w:val="clear" w:color="auto" w:fill="auto"/>
            <w:vAlign w:val="center"/>
          </w:tcPr>
          <w:p w14:paraId="377273CD">
            <w:pPr>
              <w:widowControl/>
              <w:rPr>
                <w:rFonts w:ascii="宋体" w:hAnsi="宋体" w:cs="宋体"/>
                <w:color w:val="000000"/>
                <w:kern w:val="0"/>
                <w:sz w:val="24"/>
              </w:rPr>
            </w:pPr>
            <w:r>
              <w:rPr>
                <w:rFonts w:hint="eastAsia" w:ascii="宋体" w:hAnsi="宋体" w:cs="宋体"/>
                <w:color w:val="000000"/>
                <w:kern w:val="0"/>
                <w:sz w:val="24"/>
              </w:rPr>
              <w:t>好氧回流泵</w:t>
            </w:r>
          </w:p>
        </w:tc>
        <w:tc>
          <w:tcPr>
            <w:tcW w:w="1134" w:type="dxa"/>
            <w:tcBorders>
              <w:top w:val="nil"/>
              <w:left w:val="nil"/>
              <w:bottom w:val="single" w:color="auto" w:sz="4" w:space="0"/>
              <w:right w:val="single" w:color="auto" w:sz="4" w:space="0"/>
            </w:tcBorders>
            <w:shd w:val="clear" w:color="auto" w:fill="auto"/>
            <w:vAlign w:val="center"/>
          </w:tcPr>
          <w:p w14:paraId="3E965725">
            <w:pPr>
              <w:widowControl/>
              <w:rPr>
                <w:rFonts w:ascii="宋体" w:hAnsi="宋体" w:cs="宋体"/>
                <w:color w:val="000000"/>
                <w:kern w:val="0"/>
                <w:sz w:val="24"/>
              </w:rPr>
            </w:pPr>
            <w:r>
              <w:rPr>
                <w:rFonts w:hint="eastAsia" w:ascii="宋体" w:hAnsi="宋体" w:cs="宋体"/>
                <w:color w:val="000000"/>
                <w:kern w:val="0"/>
                <w:sz w:val="24"/>
              </w:rPr>
              <w:t>设备间</w:t>
            </w:r>
          </w:p>
        </w:tc>
        <w:tc>
          <w:tcPr>
            <w:tcW w:w="850" w:type="dxa"/>
            <w:tcBorders>
              <w:top w:val="nil"/>
              <w:left w:val="nil"/>
              <w:bottom w:val="single" w:color="auto" w:sz="4" w:space="0"/>
              <w:right w:val="single" w:color="auto" w:sz="4" w:space="0"/>
            </w:tcBorders>
            <w:shd w:val="clear" w:color="auto" w:fill="auto"/>
            <w:vAlign w:val="center"/>
          </w:tcPr>
          <w:p w14:paraId="47A1CC45">
            <w:pPr>
              <w:widowControl/>
              <w:rPr>
                <w:rFonts w:ascii="宋体" w:hAnsi="宋体" w:cs="宋体"/>
                <w:color w:val="000000"/>
                <w:kern w:val="0"/>
                <w:sz w:val="24"/>
              </w:rPr>
            </w:pPr>
            <w:r>
              <w:rPr>
                <w:rFonts w:hint="eastAsia" w:ascii="宋体" w:hAnsi="宋体" w:cs="宋体"/>
                <w:color w:val="000000"/>
                <w:kern w:val="0"/>
                <w:sz w:val="24"/>
              </w:rPr>
              <w:t>3台</w:t>
            </w:r>
          </w:p>
        </w:tc>
        <w:tc>
          <w:tcPr>
            <w:tcW w:w="3119" w:type="dxa"/>
            <w:tcBorders>
              <w:top w:val="nil"/>
              <w:left w:val="nil"/>
              <w:bottom w:val="single" w:color="auto" w:sz="4" w:space="0"/>
              <w:right w:val="single" w:color="auto" w:sz="4" w:space="0"/>
            </w:tcBorders>
            <w:shd w:val="clear" w:color="auto" w:fill="auto"/>
            <w:vAlign w:val="center"/>
          </w:tcPr>
          <w:p w14:paraId="0E6CCEDC">
            <w:pPr>
              <w:widowControl/>
              <w:rPr>
                <w:rFonts w:ascii="宋体" w:hAnsi="宋体" w:cs="宋体"/>
                <w:color w:val="000000"/>
                <w:kern w:val="0"/>
                <w:sz w:val="24"/>
              </w:rPr>
            </w:pPr>
            <w:r>
              <w:rPr>
                <w:rFonts w:hint="eastAsia" w:ascii="宋体" w:hAnsi="宋体" w:cs="宋体"/>
                <w:color w:val="000000"/>
                <w:kern w:val="0"/>
                <w:sz w:val="24"/>
              </w:rPr>
              <w:t>拆卸并烘干浸水电机，更换损坏线圈</w:t>
            </w:r>
          </w:p>
        </w:tc>
        <w:tc>
          <w:tcPr>
            <w:tcW w:w="2145" w:type="dxa"/>
            <w:tcBorders>
              <w:top w:val="nil"/>
              <w:left w:val="nil"/>
              <w:bottom w:val="single" w:color="auto" w:sz="4" w:space="0"/>
              <w:right w:val="single" w:color="auto" w:sz="4" w:space="0"/>
            </w:tcBorders>
            <w:shd w:val="clear" w:color="auto" w:fill="auto"/>
            <w:vAlign w:val="center"/>
          </w:tcPr>
          <w:p w14:paraId="1ACBCE40">
            <w:pPr>
              <w:widowControl/>
              <w:jc w:val="left"/>
              <w:rPr>
                <w:rFonts w:ascii="宋体" w:hAnsi="宋体" w:cs="宋体"/>
                <w:color w:val="000000"/>
                <w:kern w:val="0"/>
                <w:sz w:val="24"/>
              </w:rPr>
            </w:pPr>
            <w:r>
              <w:rPr>
                <w:rFonts w:hint="eastAsia" w:ascii="宋体" w:hAnsi="宋体" w:cs="宋体"/>
                <w:color w:val="000000"/>
                <w:kern w:val="0"/>
                <w:sz w:val="24"/>
              </w:rPr>
              <w:t>　</w:t>
            </w:r>
          </w:p>
        </w:tc>
      </w:tr>
      <w:tr w14:paraId="4DE6D14B">
        <w:tblPrEx>
          <w:tblCellMar>
            <w:top w:w="0" w:type="dxa"/>
            <w:left w:w="108" w:type="dxa"/>
            <w:bottom w:w="0" w:type="dxa"/>
            <w:right w:w="108" w:type="dxa"/>
          </w:tblCellMar>
        </w:tblPrEx>
        <w:trPr>
          <w:wAfter w:w="0" w:type="auto"/>
          <w:trHeight w:val="900" w:hRule="atLeast"/>
        </w:trPr>
        <w:tc>
          <w:tcPr>
            <w:tcW w:w="866" w:type="dxa"/>
            <w:tcBorders>
              <w:top w:val="nil"/>
              <w:left w:val="single" w:color="auto" w:sz="4" w:space="0"/>
              <w:bottom w:val="single" w:color="auto" w:sz="4" w:space="0"/>
              <w:right w:val="single" w:color="auto" w:sz="4" w:space="0"/>
            </w:tcBorders>
            <w:shd w:val="clear" w:color="auto" w:fill="auto"/>
            <w:vAlign w:val="center"/>
          </w:tcPr>
          <w:p w14:paraId="672E2B96">
            <w:pPr>
              <w:widowControl/>
              <w:jc w:val="center"/>
              <w:rPr>
                <w:rFonts w:ascii="宋体" w:hAnsi="宋体" w:cs="宋体"/>
                <w:color w:val="000000"/>
                <w:kern w:val="0"/>
                <w:sz w:val="24"/>
              </w:rPr>
            </w:pPr>
            <w:r>
              <w:rPr>
                <w:rFonts w:hint="eastAsia" w:ascii="宋体" w:hAnsi="宋体" w:cs="宋体"/>
                <w:color w:val="000000"/>
                <w:kern w:val="0"/>
                <w:sz w:val="24"/>
              </w:rPr>
              <w:t>7</w:t>
            </w:r>
          </w:p>
        </w:tc>
        <w:tc>
          <w:tcPr>
            <w:tcW w:w="1276" w:type="dxa"/>
            <w:tcBorders>
              <w:top w:val="nil"/>
              <w:left w:val="nil"/>
              <w:bottom w:val="single" w:color="auto" w:sz="4" w:space="0"/>
              <w:right w:val="single" w:color="auto" w:sz="4" w:space="0"/>
            </w:tcBorders>
            <w:shd w:val="clear" w:color="auto" w:fill="auto"/>
            <w:vAlign w:val="center"/>
          </w:tcPr>
          <w:p w14:paraId="04F5FA1E">
            <w:pPr>
              <w:widowControl/>
              <w:rPr>
                <w:rFonts w:ascii="宋体" w:hAnsi="宋体" w:cs="宋体"/>
                <w:color w:val="000000"/>
                <w:kern w:val="0"/>
                <w:sz w:val="24"/>
              </w:rPr>
            </w:pPr>
            <w:r>
              <w:rPr>
                <w:rFonts w:hint="eastAsia" w:ascii="宋体" w:hAnsi="宋体" w:cs="宋体"/>
                <w:color w:val="000000"/>
                <w:kern w:val="0"/>
                <w:sz w:val="24"/>
              </w:rPr>
              <w:t>污水提升泵</w:t>
            </w:r>
          </w:p>
        </w:tc>
        <w:tc>
          <w:tcPr>
            <w:tcW w:w="1134" w:type="dxa"/>
            <w:tcBorders>
              <w:top w:val="nil"/>
              <w:left w:val="nil"/>
              <w:bottom w:val="single" w:color="auto" w:sz="4" w:space="0"/>
              <w:right w:val="single" w:color="auto" w:sz="4" w:space="0"/>
            </w:tcBorders>
            <w:shd w:val="clear" w:color="auto" w:fill="auto"/>
            <w:vAlign w:val="center"/>
          </w:tcPr>
          <w:p w14:paraId="1F23AE98">
            <w:pPr>
              <w:widowControl/>
              <w:rPr>
                <w:rFonts w:ascii="宋体" w:hAnsi="宋体" w:cs="宋体"/>
                <w:color w:val="000000"/>
                <w:kern w:val="0"/>
                <w:sz w:val="24"/>
              </w:rPr>
            </w:pPr>
            <w:r>
              <w:rPr>
                <w:rFonts w:hint="eastAsia" w:ascii="宋体" w:hAnsi="宋体" w:cs="宋体"/>
                <w:color w:val="000000"/>
                <w:kern w:val="0"/>
                <w:sz w:val="24"/>
              </w:rPr>
              <w:t>设备间</w:t>
            </w:r>
          </w:p>
        </w:tc>
        <w:tc>
          <w:tcPr>
            <w:tcW w:w="850" w:type="dxa"/>
            <w:tcBorders>
              <w:top w:val="nil"/>
              <w:left w:val="nil"/>
              <w:bottom w:val="single" w:color="auto" w:sz="4" w:space="0"/>
              <w:right w:val="single" w:color="auto" w:sz="4" w:space="0"/>
            </w:tcBorders>
            <w:shd w:val="clear" w:color="auto" w:fill="auto"/>
            <w:vAlign w:val="center"/>
          </w:tcPr>
          <w:p w14:paraId="75D6D944">
            <w:pPr>
              <w:widowControl/>
              <w:rPr>
                <w:rFonts w:ascii="宋体" w:hAnsi="宋体" w:cs="宋体"/>
                <w:color w:val="000000"/>
                <w:kern w:val="0"/>
                <w:sz w:val="24"/>
              </w:rPr>
            </w:pPr>
            <w:r>
              <w:rPr>
                <w:rFonts w:hint="eastAsia" w:ascii="宋体" w:hAnsi="宋体" w:cs="宋体"/>
                <w:color w:val="000000"/>
                <w:kern w:val="0"/>
                <w:sz w:val="24"/>
              </w:rPr>
              <w:t>3台</w:t>
            </w:r>
          </w:p>
        </w:tc>
        <w:tc>
          <w:tcPr>
            <w:tcW w:w="3119" w:type="dxa"/>
            <w:tcBorders>
              <w:top w:val="nil"/>
              <w:left w:val="nil"/>
              <w:bottom w:val="single" w:color="auto" w:sz="4" w:space="0"/>
              <w:right w:val="single" w:color="auto" w:sz="4" w:space="0"/>
            </w:tcBorders>
            <w:shd w:val="clear" w:color="auto" w:fill="auto"/>
            <w:vAlign w:val="center"/>
          </w:tcPr>
          <w:p w14:paraId="5AB7FBFC">
            <w:pPr>
              <w:widowControl/>
              <w:rPr>
                <w:rFonts w:ascii="宋体" w:hAnsi="宋体" w:cs="宋体"/>
                <w:color w:val="000000"/>
                <w:kern w:val="0"/>
                <w:sz w:val="24"/>
              </w:rPr>
            </w:pPr>
            <w:r>
              <w:rPr>
                <w:rFonts w:hint="eastAsia" w:ascii="宋体" w:hAnsi="宋体" w:cs="宋体"/>
                <w:color w:val="000000"/>
                <w:kern w:val="0"/>
                <w:sz w:val="24"/>
              </w:rPr>
              <w:t>拆卸并烘干浸水电机，更换损坏线圈</w:t>
            </w:r>
          </w:p>
        </w:tc>
        <w:tc>
          <w:tcPr>
            <w:tcW w:w="2145" w:type="dxa"/>
            <w:tcBorders>
              <w:top w:val="nil"/>
              <w:left w:val="nil"/>
              <w:bottom w:val="single" w:color="auto" w:sz="4" w:space="0"/>
              <w:right w:val="single" w:color="auto" w:sz="4" w:space="0"/>
            </w:tcBorders>
            <w:shd w:val="clear" w:color="auto" w:fill="auto"/>
            <w:vAlign w:val="center"/>
          </w:tcPr>
          <w:p w14:paraId="4267E532">
            <w:pPr>
              <w:widowControl/>
              <w:jc w:val="left"/>
              <w:rPr>
                <w:rFonts w:ascii="宋体" w:hAnsi="宋体" w:cs="宋体"/>
                <w:color w:val="000000"/>
                <w:kern w:val="0"/>
                <w:sz w:val="24"/>
              </w:rPr>
            </w:pPr>
            <w:r>
              <w:rPr>
                <w:rFonts w:hint="eastAsia" w:ascii="宋体" w:hAnsi="宋体" w:cs="宋体"/>
                <w:color w:val="000000"/>
                <w:kern w:val="0"/>
                <w:sz w:val="24"/>
              </w:rPr>
              <w:t>　</w:t>
            </w:r>
          </w:p>
        </w:tc>
      </w:tr>
      <w:tr w14:paraId="539B7304">
        <w:tblPrEx>
          <w:tblCellMar>
            <w:top w:w="0" w:type="dxa"/>
            <w:left w:w="108" w:type="dxa"/>
            <w:bottom w:w="0" w:type="dxa"/>
            <w:right w:w="108" w:type="dxa"/>
          </w:tblCellMar>
        </w:tblPrEx>
        <w:trPr>
          <w:wAfter w:w="0" w:type="auto"/>
          <w:trHeight w:val="900" w:hRule="atLeast"/>
        </w:trPr>
        <w:tc>
          <w:tcPr>
            <w:tcW w:w="866" w:type="dxa"/>
            <w:tcBorders>
              <w:top w:val="nil"/>
              <w:left w:val="single" w:color="auto" w:sz="4" w:space="0"/>
              <w:bottom w:val="single" w:color="auto" w:sz="4" w:space="0"/>
              <w:right w:val="single" w:color="auto" w:sz="4" w:space="0"/>
            </w:tcBorders>
            <w:shd w:val="clear" w:color="auto" w:fill="auto"/>
            <w:vAlign w:val="center"/>
          </w:tcPr>
          <w:p w14:paraId="08201DF3">
            <w:pPr>
              <w:widowControl/>
              <w:jc w:val="center"/>
              <w:rPr>
                <w:rFonts w:ascii="宋体" w:hAnsi="宋体" w:cs="宋体"/>
                <w:color w:val="000000"/>
                <w:kern w:val="0"/>
                <w:sz w:val="24"/>
              </w:rPr>
            </w:pPr>
            <w:r>
              <w:rPr>
                <w:rFonts w:hint="eastAsia" w:ascii="宋体" w:hAnsi="宋体" w:cs="宋体"/>
                <w:color w:val="000000"/>
                <w:kern w:val="0"/>
                <w:sz w:val="24"/>
              </w:rPr>
              <w:t>8</w:t>
            </w:r>
          </w:p>
        </w:tc>
        <w:tc>
          <w:tcPr>
            <w:tcW w:w="1276" w:type="dxa"/>
            <w:tcBorders>
              <w:top w:val="nil"/>
              <w:left w:val="nil"/>
              <w:bottom w:val="single" w:color="auto" w:sz="4" w:space="0"/>
              <w:right w:val="single" w:color="auto" w:sz="4" w:space="0"/>
            </w:tcBorders>
            <w:shd w:val="clear" w:color="auto" w:fill="auto"/>
            <w:vAlign w:val="center"/>
          </w:tcPr>
          <w:p w14:paraId="3D4E8351">
            <w:pPr>
              <w:widowControl/>
              <w:rPr>
                <w:rFonts w:ascii="宋体" w:hAnsi="宋体" w:cs="宋体"/>
                <w:color w:val="000000"/>
                <w:kern w:val="0"/>
                <w:sz w:val="24"/>
              </w:rPr>
            </w:pPr>
            <w:r>
              <w:rPr>
                <w:rFonts w:hint="eastAsia" w:ascii="宋体" w:hAnsi="宋体" w:cs="宋体"/>
                <w:color w:val="000000"/>
                <w:kern w:val="0"/>
                <w:sz w:val="24"/>
              </w:rPr>
              <w:t>自吸加药泵</w:t>
            </w:r>
          </w:p>
        </w:tc>
        <w:tc>
          <w:tcPr>
            <w:tcW w:w="1134" w:type="dxa"/>
            <w:tcBorders>
              <w:top w:val="nil"/>
              <w:left w:val="nil"/>
              <w:bottom w:val="single" w:color="auto" w:sz="4" w:space="0"/>
              <w:right w:val="single" w:color="auto" w:sz="4" w:space="0"/>
            </w:tcBorders>
            <w:shd w:val="clear" w:color="auto" w:fill="auto"/>
            <w:vAlign w:val="center"/>
          </w:tcPr>
          <w:p w14:paraId="01739DDC">
            <w:pPr>
              <w:widowControl/>
              <w:rPr>
                <w:rFonts w:ascii="宋体" w:hAnsi="宋体" w:cs="宋体"/>
                <w:color w:val="000000"/>
                <w:kern w:val="0"/>
                <w:sz w:val="24"/>
              </w:rPr>
            </w:pPr>
            <w:r>
              <w:rPr>
                <w:rFonts w:hint="eastAsia" w:ascii="宋体" w:hAnsi="宋体" w:cs="宋体"/>
                <w:color w:val="000000"/>
                <w:kern w:val="0"/>
                <w:sz w:val="24"/>
              </w:rPr>
              <w:t>设备间</w:t>
            </w:r>
          </w:p>
        </w:tc>
        <w:tc>
          <w:tcPr>
            <w:tcW w:w="850" w:type="dxa"/>
            <w:tcBorders>
              <w:top w:val="nil"/>
              <w:left w:val="nil"/>
              <w:bottom w:val="single" w:color="auto" w:sz="4" w:space="0"/>
              <w:right w:val="single" w:color="auto" w:sz="4" w:space="0"/>
            </w:tcBorders>
            <w:shd w:val="clear" w:color="auto" w:fill="auto"/>
            <w:vAlign w:val="center"/>
          </w:tcPr>
          <w:p w14:paraId="1B2A51DC">
            <w:pPr>
              <w:widowControl/>
              <w:rPr>
                <w:rFonts w:ascii="宋体" w:hAnsi="宋体" w:cs="宋体"/>
                <w:color w:val="000000"/>
                <w:kern w:val="0"/>
                <w:sz w:val="24"/>
              </w:rPr>
            </w:pPr>
            <w:r>
              <w:rPr>
                <w:rFonts w:hint="eastAsia" w:ascii="宋体" w:hAnsi="宋体" w:cs="宋体"/>
                <w:color w:val="000000"/>
                <w:kern w:val="0"/>
                <w:sz w:val="24"/>
              </w:rPr>
              <w:t>1台</w:t>
            </w:r>
          </w:p>
        </w:tc>
        <w:tc>
          <w:tcPr>
            <w:tcW w:w="3119" w:type="dxa"/>
            <w:tcBorders>
              <w:top w:val="nil"/>
              <w:left w:val="nil"/>
              <w:bottom w:val="single" w:color="auto" w:sz="4" w:space="0"/>
              <w:right w:val="single" w:color="auto" w:sz="4" w:space="0"/>
            </w:tcBorders>
            <w:shd w:val="clear" w:color="auto" w:fill="auto"/>
            <w:vAlign w:val="center"/>
          </w:tcPr>
          <w:p w14:paraId="5E55B05F">
            <w:pPr>
              <w:widowControl/>
              <w:rPr>
                <w:rFonts w:ascii="宋体" w:hAnsi="宋体" w:cs="宋体"/>
                <w:color w:val="000000"/>
                <w:kern w:val="0"/>
                <w:sz w:val="24"/>
              </w:rPr>
            </w:pPr>
            <w:r>
              <w:rPr>
                <w:rFonts w:hint="eastAsia" w:ascii="宋体" w:hAnsi="宋体" w:cs="宋体"/>
                <w:color w:val="000000"/>
                <w:kern w:val="0"/>
                <w:sz w:val="24"/>
              </w:rPr>
              <w:t>更换新设备</w:t>
            </w:r>
          </w:p>
        </w:tc>
        <w:tc>
          <w:tcPr>
            <w:tcW w:w="2145" w:type="dxa"/>
            <w:tcBorders>
              <w:top w:val="nil"/>
              <w:left w:val="nil"/>
              <w:bottom w:val="single" w:color="auto" w:sz="4" w:space="0"/>
              <w:right w:val="single" w:color="auto" w:sz="4" w:space="0"/>
            </w:tcBorders>
            <w:shd w:val="clear" w:color="auto" w:fill="auto"/>
            <w:vAlign w:val="center"/>
          </w:tcPr>
          <w:p w14:paraId="440E8E8C">
            <w:pPr>
              <w:widowControl/>
              <w:jc w:val="left"/>
              <w:rPr>
                <w:rFonts w:ascii="宋体" w:hAnsi="宋体" w:cs="宋体"/>
                <w:color w:val="000000"/>
                <w:kern w:val="0"/>
                <w:sz w:val="24"/>
              </w:rPr>
            </w:pPr>
            <w:r>
              <w:rPr>
                <w:rFonts w:hint="eastAsia" w:ascii="宋体" w:hAnsi="宋体" w:cs="宋体"/>
                <w:color w:val="000000"/>
                <w:kern w:val="0"/>
                <w:sz w:val="24"/>
              </w:rPr>
              <w:t>自吸泵</w:t>
            </w:r>
          </w:p>
        </w:tc>
      </w:tr>
      <w:tr w14:paraId="7A2F8DB9">
        <w:tblPrEx>
          <w:tblCellMar>
            <w:top w:w="0" w:type="dxa"/>
            <w:left w:w="108" w:type="dxa"/>
            <w:bottom w:w="0" w:type="dxa"/>
            <w:right w:w="108" w:type="dxa"/>
          </w:tblCellMar>
        </w:tblPrEx>
        <w:trPr>
          <w:wAfter w:w="0" w:type="auto"/>
          <w:trHeight w:val="900" w:hRule="atLeast"/>
        </w:trPr>
        <w:tc>
          <w:tcPr>
            <w:tcW w:w="866" w:type="dxa"/>
            <w:tcBorders>
              <w:top w:val="nil"/>
              <w:left w:val="single" w:color="auto" w:sz="4" w:space="0"/>
              <w:bottom w:val="single" w:color="auto" w:sz="4" w:space="0"/>
              <w:right w:val="single" w:color="auto" w:sz="4" w:space="0"/>
            </w:tcBorders>
            <w:shd w:val="clear" w:color="auto" w:fill="auto"/>
            <w:vAlign w:val="center"/>
          </w:tcPr>
          <w:p w14:paraId="2172688D">
            <w:pPr>
              <w:widowControl/>
              <w:jc w:val="center"/>
              <w:rPr>
                <w:rFonts w:ascii="宋体" w:hAnsi="宋体" w:cs="宋体"/>
                <w:color w:val="000000"/>
                <w:kern w:val="0"/>
                <w:sz w:val="24"/>
              </w:rPr>
            </w:pPr>
            <w:r>
              <w:rPr>
                <w:rFonts w:hint="eastAsia" w:ascii="宋体" w:hAnsi="宋体" w:cs="宋体"/>
                <w:color w:val="000000"/>
                <w:kern w:val="0"/>
                <w:sz w:val="24"/>
              </w:rPr>
              <w:t>9</w:t>
            </w:r>
          </w:p>
        </w:tc>
        <w:tc>
          <w:tcPr>
            <w:tcW w:w="1276" w:type="dxa"/>
            <w:tcBorders>
              <w:top w:val="nil"/>
              <w:left w:val="nil"/>
              <w:bottom w:val="single" w:color="auto" w:sz="4" w:space="0"/>
              <w:right w:val="single" w:color="auto" w:sz="4" w:space="0"/>
            </w:tcBorders>
            <w:shd w:val="clear" w:color="auto" w:fill="auto"/>
            <w:vAlign w:val="center"/>
          </w:tcPr>
          <w:p w14:paraId="016400DC">
            <w:pPr>
              <w:widowControl/>
              <w:rPr>
                <w:rFonts w:ascii="宋体" w:hAnsi="宋体" w:cs="宋体"/>
                <w:color w:val="000000"/>
                <w:kern w:val="0"/>
                <w:sz w:val="24"/>
              </w:rPr>
            </w:pPr>
            <w:r>
              <w:rPr>
                <w:rFonts w:hint="eastAsia" w:ascii="宋体" w:hAnsi="宋体" w:cs="宋体"/>
                <w:color w:val="000000"/>
                <w:kern w:val="0"/>
                <w:sz w:val="24"/>
              </w:rPr>
              <w:t>电磁流量计</w:t>
            </w:r>
          </w:p>
        </w:tc>
        <w:tc>
          <w:tcPr>
            <w:tcW w:w="1134" w:type="dxa"/>
            <w:tcBorders>
              <w:top w:val="nil"/>
              <w:left w:val="nil"/>
              <w:bottom w:val="single" w:color="auto" w:sz="4" w:space="0"/>
              <w:right w:val="single" w:color="auto" w:sz="4" w:space="0"/>
            </w:tcBorders>
            <w:shd w:val="clear" w:color="auto" w:fill="auto"/>
            <w:vAlign w:val="center"/>
          </w:tcPr>
          <w:p w14:paraId="2A1E878E">
            <w:pPr>
              <w:widowControl/>
              <w:rPr>
                <w:rFonts w:ascii="宋体" w:hAnsi="宋体" w:cs="宋体"/>
                <w:color w:val="000000"/>
                <w:kern w:val="0"/>
                <w:sz w:val="24"/>
              </w:rPr>
            </w:pPr>
            <w:r>
              <w:rPr>
                <w:rFonts w:hint="eastAsia" w:ascii="宋体" w:hAnsi="宋体" w:cs="宋体"/>
                <w:color w:val="000000"/>
                <w:kern w:val="0"/>
                <w:sz w:val="24"/>
              </w:rPr>
              <w:t>泵房</w:t>
            </w:r>
          </w:p>
        </w:tc>
        <w:tc>
          <w:tcPr>
            <w:tcW w:w="850" w:type="dxa"/>
            <w:tcBorders>
              <w:top w:val="nil"/>
              <w:left w:val="nil"/>
              <w:bottom w:val="single" w:color="auto" w:sz="4" w:space="0"/>
              <w:right w:val="single" w:color="auto" w:sz="4" w:space="0"/>
            </w:tcBorders>
            <w:shd w:val="clear" w:color="auto" w:fill="auto"/>
            <w:vAlign w:val="center"/>
          </w:tcPr>
          <w:p w14:paraId="1E762B2E">
            <w:pPr>
              <w:widowControl/>
              <w:rPr>
                <w:rFonts w:ascii="宋体" w:hAnsi="宋体" w:cs="宋体"/>
                <w:color w:val="000000"/>
                <w:kern w:val="0"/>
                <w:sz w:val="24"/>
              </w:rPr>
            </w:pPr>
            <w:r>
              <w:rPr>
                <w:rFonts w:hint="eastAsia" w:ascii="宋体" w:hAnsi="宋体" w:cs="宋体"/>
                <w:color w:val="000000"/>
                <w:kern w:val="0"/>
                <w:sz w:val="24"/>
              </w:rPr>
              <w:t>3台</w:t>
            </w:r>
          </w:p>
        </w:tc>
        <w:tc>
          <w:tcPr>
            <w:tcW w:w="3119" w:type="dxa"/>
            <w:tcBorders>
              <w:top w:val="nil"/>
              <w:left w:val="nil"/>
              <w:bottom w:val="single" w:color="auto" w:sz="4" w:space="0"/>
              <w:right w:val="single" w:color="auto" w:sz="4" w:space="0"/>
            </w:tcBorders>
            <w:shd w:val="clear" w:color="auto" w:fill="auto"/>
            <w:vAlign w:val="center"/>
          </w:tcPr>
          <w:p w14:paraId="59130C4C">
            <w:pPr>
              <w:widowControl/>
              <w:rPr>
                <w:rFonts w:ascii="宋体" w:hAnsi="宋体" w:cs="宋体"/>
                <w:color w:val="000000"/>
                <w:kern w:val="0"/>
                <w:sz w:val="24"/>
              </w:rPr>
            </w:pPr>
            <w:r>
              <w:rPr>
                <w:rFonts w:hint="eastAsia" w:ascii="宋体" w:hAnsi="宋体" w:cs="宋体"/>
                <w:color w:val="000000"/>
                <w:kern w:val="0"/>
                <w:sz w:val="24"/>
              </w:rPr>
              <w:t>更换新设备</w:t>
            </w:r>
          </w:p>
        </w:tc>
        <w:tc>
          <w:tcPr>
            <w:tcW w:w="2145" w:type="dxa"/>
            <w:tcBorders>
              <w:top w:val="nil"/>
              <w:left w:val="nil"/>
              <w:bottom w:val="single" w:color="auto" w:sz="4" w:space="0"/>
              <w:right w:val="single" w:color="auto" w:sz="4" w:space="0"/>
            </w:tcBorders>
            <w:shd w:val="clear" w:color="auto" w:fill="auto"/>
            <w:vAlign w:val="center"/>
          </w:tcPr>
          <w:p w14:paraId="06DFF09A">
            <w:pPr>
              <w:widowControl/>
              <w:jc w:val="left"/>
              <w:rPr>
                <w:rFonts w:ascii="宋体" w:hAnsi="宋体" w:cs="宋体"/>
                <w:color w:val="000000"/>
                <w:kern w:val="0"/>
                <w:sz w:val="24"/>
              </w:rPr>
            </w:pPr>
          </w:p>
        </w:tc>
      </w:tr>
      <w:tr w14:paraId="32DB88C2">
        <w:tblPrEx>
          <w:tblCellMar>
            <w:top w:w="0" w:type="dxa"/>
            <w:left w:w="108" w:type="dxa"/>
            <w:bottom w:w="0" w:type="dxa"/>
            <w:right w:w="108" w:type="dxa"/>
          </w:tblCellMar>
        </w:tblPrEx>
        <w:trPr>
          <w:wAfter w:w="0" w:type="auto"/>
          <w:trHeight w:val="900" w:hRule="atLeast"/>
        </w:trPr>
        <w:tc>
          <w:tcPr>
            <w:tcW w:w="866" w:type="dxa"/>
            <w:tcBorders>
              <w:top w:val="nil"/>
              <w:left w:val="single" w:color="auto" w:sz="4" w:space="0"/>
              <w:bottom w:val="single" w:color="auto" w:sz="4" w:space="0"/>
              <w:right w:val="single" w:color="auto" w:sz="4" w:space="0"/>
            </w:tcBorders>
            <w:shd w:val="clear" w:color="auto" w:fill="auto"/>
            <w:vAlign w:val="center"/>
          </w:tcPr>
          <w:p w14:paraId="09262C3E">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nil"/>
              <w:left w:val="nil"/>
              <w:bottom w:val="single" w:color="auto" w:sz="4" w:space="0"/>
              <w:right w:val="single" w:color="auto" w:sz="4" w:space="0"/>
            </w:tcBorders>
            <w:shd w:val="clear" w:color="auto" w:fill="auto"/>
            <w:vAlign w:val="center"/>
          </w:tcPr>
          <w:p w14:paraId="378B870C">
            <w:pPr>
              <w:widowControl/>
              <w:rPr>
                <w:rFonts w:ascii="宋体" w:hAnsi="宋体" w:cs="宋体"/>
                <w:color w:val="000000"/>
                <w:kern w:val="0"/>
                <w:sz w:val="24"/>
              </w:rPr>
            </w:pPr>
            <w:r>
              <w:rPr>
                <w:rFonts w:hint="eastAsia" w:ascii="宋体" w:hAnsi="宋体" w:cs="宋体"/>
                <w:color w:val="000000"/>
                <w:kern w:val="0"/>
                <w:sz w:val="24"/>
              </w:rPr>
              <w:t>中间提升泵</w:t>
            </w:r>
          </w:p>
        </w:tc>
        <w:tc>
          <w:tcPr>
            <w:tcW w:w="1134" w:type="dxa"/>
            <w:tcBorders>
              <w:top w:val="nil"/>
              <w:left w:val="nil"/>
              <w:bottom w:val="single" w:color="auto" w:sz="4" w:space="0"/>
              <w:right w:val="single" w:color="auto" w:sz="4" w:space="0"/>
            </w:tcBorders>
            <w:shd w:val="clear" w:color="auto" w:fill="auto"/>
            <w:vAlign w:val="center"/>
          </w:tcPr>
          <w:p w14:paraId="7C20A8AC">
            <w:pPr>
              <w:widowControl/>
              <w:rPr>
                <w:rFonts w:ascii="宋体" w:hAnsi="宋体" w:cs="宋体"/>
                <w:color w:val="000000"/>
                <w:kern w:val="0"/>
                <w:sz w:val="24"/>
              </w:rPr>
            </w:pPr>
            <w:r>
              <w:rPr>
                <w:rFonts w:hint="eastAsia" w:ascii="宋体" w:hAnsi="宋体" w:cs="宋体"/>
                <w:color w:val="000000"/>
                <w:kern w:val="0"/>
                <w:sz w:val="24"/>
              </w:rPr>
              <w:t>泵房</w:t>
            </w:r>
          </w:p>
        </w:tc>
        <w:tc>
          <w:tcPr>
            <w:tcW w:w="850" w:type="dxa"/>
            <w:tcBorders>
              <w:top w:val="nil"/>
              <w:left w:val="nil"/>
              <w:bottom w:val="single" w:color="auto" w:sz="4" w:space="0"/>
              <w:right w:val="single" w:color="auto" w:sz="4" w:space="0"/>
            </w:tcBorders>
            <w:shd w:val="clear" w:color="auto" w:fill="auto"/>
            <w:vAlign w:val="center"/>
          </w:tcPr>
          <w:p w14:paraId="39112F4E">
            <w:pPr>
              <w:widowControl/>
              <w:rPr>
                <w:rFonts w:ascii="宋体" w:hAnsi="宋体" w:cs="宋体"/>
                <w:color w:val="000000"/>
                <w:kern w:val="0"/>
                <w:sz w:val="24"/>
              </w:rPr>
            </w:pPr>
            <w:r>
              <w:rPr>
                <w:rFonts w:hint="eastAsia" w:ascii="宋体" w:hAnsi="宋体" w:cs="宋体"/>
                <w:color w:val="000000"/>
                <w:kern w:val="0"/>
                <w:sz w:val="24"/>
              </w:rPr>
              <w:t>2台</w:t>
            </w:r>
          </w:p>
        </w:tc>
        <w:tc>
          <w:tcPr>
            <w:tcW w:w="3119" w:type="dxa"/>
            <w:tcBorders>
              <w:top w:val="nil"/>
              <w:left w:val="nil"/>
              <w:bottom w:val="single" w:color="auto" w:sz="4" w:space="0"/>
              <w:right w:val="single" w:color="auto" w:sz="4" w:space="0"/>
            </w:tcBorders>
            <w:shd w:val="clear" w:color="auto" w:fill="auto"/>
            <w:vAlign w:val="center"/>
          </w:tcPr>
          <w:p w14:paraId="6330BB09">
            <w:pPr>
              <w:widowControl/>
              <w:rPr>
                <w:rFonts w:ascii="宋体" w:hAnsi="宋体" w:cs="宋体"/>
                <w:color w:val="000000"/>
                <w:kern w:val="0"/>
                <w:sz w:val="24"/>
              </w:rPr>
            </w:pPr>
            <w:r>
              <w:rPr>
                <w:rFonts w:hint="eastAsia" w:ascii="宋体" w:hAnsi="宋体" w:cs="宋体"/>
                <w:color w:val="000000"/>
                <w:kern w:val="0"/>
                <w:sz w:val="24"/>
              </w:rPr>
              <w:t>拆卸并烘干浸水电机，更换损坏线圈</w:t>
            </w:r>
          </w:p>
        </w:tc>
        <w:tc>
          <w:tcPr>
            <w:tcW w:w="2145" w:type="dxa"/>
            <w:tcBorders>
              <w:top w:val="nil"/>
              <w:left w:val="nil"/>
              <w:bottom w:val="single" w:color="auto" w:sz="4" w:space="0"/>
              <w:right w:val="single" w:color="auto" w:sz="4" w:space="0"/>
            </w:tcBorders>
            <w:shd w:val="clear" w:color="auto" w:fill="auto"/>
            <w:vAlign w:val="center"/>
          </w:tcPr>
          <w:p w14:paraId="1A2DD8D4">
            <w:pPr>
              <w:widowControl/>
              <w:jc w:val="left"/>
              <w:rPr>
                <w:rFonts w:ascii="宋体" w:hAnsi="宋体" w:cs="宋体"/>
                <w:color w:val="000000"/>
                <w:kern w:val="0"/>
                <w:sz w:val="24"/>
              </w:rPr>
            </w:pPr>
            <w:r>
              <w:rPr>
                <w:rFonts w:hint="eastAsia" w:ascii="宋体" w:hAnsi="宋体" w:cs="宋体"/>
                <w:color w:val="000000"/>
                <w:kern w:val="0"/>
                <w:sz w:val="24"/>
              </w:rPr>
              <w:t>　</w:t>
            </w:r>
          </w:p>
        </w:tc>
      </w:tr>
      <w:tr w14:paraId="2B9CA5EC">
        <w:tblPrEx>
          <w:tblCellMar>
            <w:top w:w="0" w:type="dxa"/>
            <w:left w:w="108" w:type="dxa"/>
            <w:bottom w:w="0" w:type="dxa"/>
            <w:right w:w="108" w:type="dxa"/>
          </w:tblCellMar>
        </w:tblPrEx>
        <w:trPr>
          <w:wAfter w:w="0" w:type="auto"/>
          <w:trHeight w:val="900" w:hRule="atLeast"/>
        </w:trPr>
        <w:tc>
          <w:tcPr>
            <w:tcW w:w="866" w:type="dxa"/>
            <w:tcBorders>
              <w:top w:val="nil"/>
              <w:left w:val="single" w:color="auto" w:sz="4" w:space="0"/>
              <w:bottom w:val="nil"/>
              <w:right w:val="single" w:color="auto" w:sz="4" w:space="0"/>
            </w:tcBorders>
            <w:shd w:val="clear" w:color="auto" w:fill="auto"/>
            <w:vAlign w:val="center"/>
          </w:tcPr>
          <w:p w14:paraId="746D3DE0">
            <w:pPr>
              <w:widowControl/>
              <w:jc w:val="center"/>
              <w:rPr>
                <w:rFonts w:ascii="宋体" w:hAnsi="宋体" w:cs="宋体"/>
                <w:color w:val="000000"/>
                <w:kern w:val="0"/>
                <w:sz w:val="24"/>
              </w:rPr>
            </w:pPr>
            <w:r>
              <w:rPr>
                <w:rFonts w:hint="eastAsia" w:ascii="宋体" w:hAnsi="宋体" w:cs="宋体"/>
                <w:color w:val="000000"/>
                <w:kern w:val="0"/>
                <w:sz w:val="24"/>
              </w:rPr>
              <w:t>11</w:t>
            </w:r>
          </w:p>
        </w:tc>
        <w:tc>
          <w:tcPr>
            <w:tcW w:w="1276" w:type="dxa"/>
            <w:tcBorders>
              <w:top w:val="nil"/>
              <w:left w:val="nil"/>
              <w:bottom w:val="nil"/>
              <w:right w:val="single" w:color="auto" w:sz="4" w:space="0"/>
            </w:tcBorders>
            <w:shd w:val="clear" w:color="auto" w:fill="auto"/>
            <w:vAlign w:val="center"/>
          </w:tcPr>
          <w:p w14:paraId="307DAD3F">
            <w:pPr>
              <w:widowControl/>
              <w:rPr>
                <w:rFonts w:ascii="宋体" w:hAnsi="宋体" w:cs="宋体"/>
                <w:color w:val="000000"/>
                <w:kern w:val="0"/>
                <w:sz w:val="24"/>
              </w:rPr>
            </w:pPr>
            <w:r>
              <w:rPr>
                <w:rFonts w:hint="eastAsia" w:ascii="宋体" w:hAnsi="宋体" w:cs="宋体"/>
                <w:color w:val="000000"/>
                <w:kern w:val="0"/>
                <w:sz w:val="24"/>
              </w:rPr>
              <w:t>插排</w:t>
            </w:r>
          </w:p>
        </w:tc>
        <w:tc>
          <w:tcPr>
            <w:tcW w:w="1134" w:type="dxa"/>
            <w:tcBorders>
              <w:top w:val="nil"/>
              <w:left w:val="nil"/>
              <w:bottom w:val="nil"/>
              <w:right w:val="single" w:color="auto" w:sz="4" w:space="0"/>
            </w:tcBorders>
            <w:shd w:val="clear" w:color="auto" w:fill="auto"/>
            <w:vAlign w:val="center"/>
          </w:tcPr>
          <w:p w14:paraId="3DD44C86">
            <w:pPr>
              <w:widowControl/>
              <w:rPr>
                <w:rFonts w:ascii="宋体" w:hAnsi="宋体" w:cs="宋体"/>
                <w:color w:val="000000"/>
                <w:kern w:val="0"/>
                <w:sz w:val="24"/>
              </w:rPr>
            </w:pPr>
            <w:r>
              <w:rPr>
                <w:rFonts w:hint="eastAsia" w:ascii="宋体" w:hAnsi="宋体" w:cs="宋体"/>
                <w:color w:val="000000"/>
                <w:kern w:val="0"/>
                <w:sz w:val="24"/>
              </w:rPr>
              <w:t>设备间、泵房</w:t>
            </w:r>
          </w:p>
        </w:tc>
        <w:tc>
          <w:tcPr>
            <w:tcW w:w="850" w:type="dxa"/>
            <w:tcBorders>
              <w:top w:val="nil"/>
              <w:left w:val="nil"/>
              <w:bottom w:val="nil"/>
              <w:right w:val="single" w:color="auto" w:sz="4" w:space="0"/>
            </w:tcBorders>
            <w:shd w:val="clear" w:color="auto" w:fill="auto"/>
            <w:vAlign w:val="center"/>
          </w:tcPr>
          <w:p w14:paraId="262E090C">
            <w:pPr>
              <w:widowControl/>
              <w:rPr>
                <w:rFonts w:ascii="宋体" w:hAnsi="宋体" w:cs="宋体"/>
                <w:color w:val="000000"/>
                <w:kern w:val="0"/>
                <w:sz w:val="24"/>
              </w:rPr>
            </w:pPr>
            <w:r>
              <w:rPr>
                <w:rFonts w:hint="eastAsia" w:ascii="宋体" w:hAnsi="宋体" w:cs="宋体"/>
                <w:color w:val="000000"/>
                <w:kern w:val="0"/>
                <w:sz w:val="24"/>
              </w:rPr>
              <w:t>2个</w:t>
            </w:r>
          </w:p>
        </w:tc>
        <w:tc>
          <w:tcPr>
            <w:tcW w:w="3119" w:type="dxa"/>
            <w:tcBorders>
              <w:top w:val="nil"/>
              <w:left w:val="nil"/>
              <w:bottom w:val="nil"/>
              <w:right w:val="single" w:color="auto" w:sz="4" w:space="0"/>
            </w:tcBorders>
            <w:shd w:val="clear" w:color="auto" w:fill="auto"/>
            <w:vAlign w:val="center"/>
          </w:tcPr>
          <w:p w14:paraId="15FC92E7">
            <w:pPr>
              <w:widowControl/>
              <w:rPr>
                <w:rFonts w:ascii="宋体" w:hAnsi="宋体" w:cs="宋体"/>
                <w:color w:val="000000"/>
                <w:kern w:val="0"/>
                <w:sz w:val="24"/>
              </w:rPr>
            </w:pPr>
            <w:r>
              <w:rPr>
                <w:rFonts w:hint="eastAsia" w:ascii="宋体" w:hAnsi="宋体" w:cs="宋体"/>
                <w:color w:val="000000"/>
                <w:kern w:val="0"/>
                <w:sz w:val="24"/>
              </w:rPr>
              <w:t>更换新设备</w:t>
            </w:r>
          </w:p>
        </w:tc>
        <w:tc>
          <w:tcPr>
            <w:tcW w:w="2145" w:type="dxa"/>
            <w:tcBorders>
              <w:top w:val="nil"/>
              <w:left w:val="nil"/>
              <w:bottom w:val="nil"/>
              <w:right w:val="single" w:color="auto" w:sz="4" w:space="0"/>
            </w:tcBorders>
            <w:shd w:val="clear" w:color="auto" w:fill="auto"/>
            <w:vAlign w:val="center"/>
          </w:tcPr>
          <w:p w14:paraId="6DCCEA2E">
            <w:pPr>
              <w:widowControl/>
              <w:jc w:val="left"/>
              <w:rPr>
                <w:rFonts w:ascii="宋体" w:hAnsi="宋体" w:cs="宋体"/>
                <w:color w:val="000000"/>
                <w:kern w:val="0"/>
                <w:sz w:val="24"/>
              </w:rPr>
            </w:pPr>
            <w:r>
              <w:rPr>
                <w:rFonts w:hint="eastAsia" w:ascii="宋体" w:hAnsi="宋体" w:cs="宋体"/>
                <w:color w:val="000000"/>
                <w:kern w:val="0"/>
                <w:sz w:val="24"/>
              </w:rPr>
              <w:t>　</w:t>
            </w:r>
          </w:p>
        </w:tc>
      </w:tr>
      <w:tr w14:paraId="374B6F8D">
        <w:tblPrEx>
          <w:tblCellMar>
            <w:top w:w="0" w:type="dxa"/>
            <w:left w:w="108" w:type="dxa"/>
            <w:bottom w:w="0" w:type="dxa"/>
            <w:right w:w="108" w:type="dxa"/>
          </w:tblCellMar>
        </w:tblPrEx>
        <w:trPr>
          <w:wAfter w:w="0" w:type="auto"/>
          <w:trHeight w:val="900" w:hRule="atLeast"/>
        </w:trPr>
        <w:tc>
          <w:tcPr>
            <w:tcW w:w="866" w:type="dxa"/>
            <w:tcBorders>
              <w:top w:val="single" w:color="242424" w:sz="4" w:space="0"/>
              <w:left w:val="single" w:color="242424" w:sz="4" w:space="0"/>
              <w:bottom w:val="single" w:color="242424" w:sz="4" w:space="0"/>
              <w:right w:val="single" w:color="242424" w:sz="4" w:space="0"/>
            </w:tcBorders>
            <w:shd w:val="clear" w:color="auto" w:fill="auto"/>
            <w:vAlign w:val="center"/>
          </w:tcPr>
          <w:p w14:paraId="77027037">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276" w:type="dxa"/>
            <w:tcBorders>
              <w:top w:val="single" w:color="242424" w:sz="4" w:space="0"/>
              <w:left w:val="nil"/>
              <w:bottom w:val="single" w:color="242424" w:sz="4" w:space="0"/>
              <w:right w:val="single" w:color="242424" w:sz="4" w:space="0"/>
            </w:tcBorders>
            <w:shd w:val="clear" w:color="auto" w:fill="auto"/>
            <w:vAlign w:val="center"/>
          </w:tcPr>
          <w:p w14:paraId="2D9F19EA">
            <w:pPr>
              <w:widowControl/>
              <w:jc w:val="left"/>
              <w:rPr>
                <w:rFonts w:ascii="宋体" w:hAnsi="宋体" w:cs="宋体"/>
                <w:color w:val="000000"/>
                <w:kern w:val="0"/>
                <w:sz w:val="22"/>
                <w:szCs w:val="22"/>
              </w:rPr>
            </w:pPr>
            <w:r>
              <w:rPr>
                <w:rFonts w:hint="eastAsia" w:ascii="宋体" w:hAnsi="宋体" w:cs="宋体"/>
                <w:color w:val="000000"/>
                <w:kern w:val="0"/>
                <w:sz w:val="22"/>
                <w:szCs w:val="22"/>
              </w:rPr>
              <w:t>提升泵储水罐</w:t>
            </w:r>
          </w:p>
        </w:tc>
        <w:tc>
          <w:tcPr>
            <w:tcW w:w="1134" w:type="dxa"/>
            <w:tcBorders>
              <w:top w:val="single" w:color="242424" w:sz="4" w:space="0"/>
              <w:left w:val="nil"/>
              <w:bottom w:val="single" w:color="242424" w:sz="4" w:space="0"/>
              <w:right w:val="single" w:color="242424" w:sz="4" w:space="0"/>
            </w:tcBorders>
            <w:shd w:val="clear" w:color="auto" w:fill="auto"/>
            <w:vAlign w:val="center"/>
          </w:tcPr>
          <w:p w14:paraId="700DC3B2">
            <w:pPr>
              <w:widowControl/>
              <w:jc w:val="left"/>
              <w:rPr>
                <w:rFonts w:ascii="宋体" w:hAnsi="宋体" w:cs="宋体"/>
                <w:color w:val="000000"/>
                <w:kern w:val="0"/>
                <w:sz w:val="22"/>
                <w:szCs w:val="22"/>
              </w:rPr>
            </w:pPr>
            <w:r>
              <w:rPr>
                <w:rFonts w:hint="eastAsia" w:ascii="宋体" w:hAnsi="宋体" w:cs="宋体"/>
                <w:color w:val="000000"/>
                <w:kern w:val="0"/>
                <w:sz w:val="22"/>
                <w:szCs w:val="22"/>
              </w:rPr>
              <w:t>泵房</w:t>
            </w:r>
          </w:p>
        </w:tc>
        <w:tc>
          <w:tcPr>
            <w:tcW w:w="850" w:type="dxa"/>
            <w:tcBorders>
              <w:top w:val="single" w:color="242424" w:sz="4" w:space="0"/>
              <w:left w:val="nil"/>
              <w:bottom w:val="single" w:color="242424" w:sz="4" w:space="0"/>
              <w:right w:val="single" w:color="242424" w:sz="4" w:space="0"/>
            </w:tcBorders>
            <w:shd w:val="clear" w:color="auto" w:fill="auto"/>
            <w:vAlign w:val="center"/>
          </w:tcPr>
          <w:p w14:paraId="1A7C4D27">
            <w:pPr>
              <w:widowControl/>
              <w:jc w:val="left"/>
              <w:rPr>
                <w:rFonts w:ascii="宋体" w:hAnsi="宋体" w:cs="宋体"/>
                <w:color w:val="000000"/>
                <w:kern w:val="0"/>
                <w:sz w:val="22"/>
                <w:szCs w:val="22"/>
              </w:rPr>
            </w:pPr>
            <w:r>
              <w:rPr>
                <w:rFonts w:hint="eastAsia" w:ascii="宋体" w:hAnsi="宋体" w:cs="宋体"/>
                <w:color w:val="000000"/>
                <w:kern w:val="0"/>
                <w:sz w:val="22"/>
                <w:szCs w:val="22"/>
              </w:rPr>
              <w:t>1个</w:t>
            </w:r>
          </w:p>
        </w:tc>
        <w:tc>
          <w:tcPr>
            <w:tcW w:w="3119" w:type="dxa"/>
            <w:tcBorders>
              <w:top w:val="single" w:color="242424" w:sz="4" w:space="0"/>
              <w:left w:val="nil"/>
              <w:bottom w:val="single" w:color="242424" w:sz="4" w:space="0"/>
              <w:right w:val="single" w:color="242424" w:sz="4" w:space="0"/>
            </w:tcBorders>
            <w:shd w:val="clear" w:color="auto" w:fill="auto"/>
            <w:vAlign w:val="center"/>
          </w:tcPr>
          <w:p w14:paraId="07CD0078">
            <w:pPr>
              <w:widowControl/>
              <w:jc w:val="center"/>
              <w:rPr>
                <w:rFonts w:ascii="宋体" w:hAnsi="宋体" w:cs="宋体"/>
                <w:color w:val="000000"/>
                <w:kern w:val="0"/>
                <w:sz w:val="22"/>
                <w:szCs w:val="22"/>
              </w:rPr>
            </w:pPr>
            <w:r>
              <w:rPr>
                <w:rFonts w:hint="eastAsia" w:ascii="宋体" w:hAnsi="宋体" w:cs="宋体"/>
                <w:color w:val="000000"/>
                <w:kern w:val="0"/>
                <w:sz w:val="22"/>
                <w:szCs w:val="22"/>
              </w:rPr>
              <w:t>更换新设备</w:t>
            </w:r>
          </w:p>
        </w:tc>
        <w:tc>
          <w:tcPr>
            <w:tcW w:w="2145" w:type="dxa"/>
            <w:tcBorders>
              <w:top w:val="single" w:color="242424" w:sz="4" w:space="0"/>
              <w:left w:val="nil"/>
              <w:bottom w:val="single" w:color="242424" w:sz="4" w:space="0"/>
              <w:right w:val="single" w:color="242424" w:sz="4" w:space="0"/>
            </w:tcBorders>
            <w:shd w:val="clear" w:color="auto" w:fill="auto"/>
            <w:noWrap/>
            <w:vAlign w:val="center"/>
          </w:tcPr>
          <w:p w14:paraId="17D68C2F">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bl>
    <w:p w14:paraId="00D6B1FE"/>
    <w:sectPr>
      <w:footerReference r:id="rId4" w:type="first"/>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3AF70">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DDCC51">
                          <w:pPr>
                            <w:pStyle w:val="5"/>
                            <w:jc w:val="center"/>
                          </w:pPr>
                          <w:r>
                            <w:fldChar w:fldCharType="begin"/>
                          </w:r>
                          <w:r>
                            <w:instrText xml:space="preserve"> PAGE   \* MERGEFORMAT </w:instrText>
                          </w:r>
                          <w:r>
                            <w:fldChar w:fldCharType="separate"/>
                          </w:r>
                          <w:r>
                            <w:rPr>
                              <w:lang w:val="zh-CN" w:eastAsia="zh-CN"/>
                            </w:rPr>
                            <w:t>1</w:t>
                          </w:r>
                          <w:r>
                            <w:fldChar w:fldCharType="end"/>
                          </w:r>
                        </w:p>
                      </w:txbxContent>
                    </wps:txbx>
                    <wps:bodyPr wrap="none" lIns="0" tIns="0" rIns="0" bIns="0" upright="1">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0inemzAEAAJwDAAAOAAAAAAAAAAEAIAAAAB4BAABkcnMvZTJv&#10;RG9jLnhtbFBLBQYAAAAABgAGAFkBAABcBQAAAAA=&#10;">
              <v:fill on="f" focussize="0,0"/>
              <v:stroke on="f"/>
              <v:imagedata o:title=""/>
              <o:lock v:ext="edit" aspectratio="f"/>
              <v:textbox inset="0mm,0mm,0mm,0mm" style="mso-fit-shape-to-text:t;">
                <w:txbxContent>
                  <w:p w14:paraId="4EDDCC51">
                    <w:pPr>
                      <w:pStyle w:val="5"/>
                      <w:jc w:val="center"/>
                    </w:pPr>
                    <w:r>
                      <w:fldChar w:fldCharType="begin"/>
                    </w:r>
                    <w:r>
                      <w:instrText xml:space="preserve"> PAGE   \* MERGEFORMAT </w:instrText>
                    </w:r>
                    <w:r>
                      <w:fldChar w:fldCharType="separate"/>
                    </w:r>
                    <w:r>
                      <w:rPr>
                        <w:lang w:val="zh-CN" w:eastAsia="zh-CN"/>
                      </w:rPr>
                      <w:t>1</w:t>
                    </w:r>
                    <w:r>
                      <w:fldChar w:fldCharType="end"/>
                    </w:r>
                  </w:p>
                </w:txbxContent>
              </v:textbox>
            </v:shape>
          </w:pict>
        </mc:Fallback>
      </mc:AlternateContent>
    </w:r>
    <w:r>
      <w:rPr>
        <w:rFonts w:hint="eastAsia"/>
      </w:rPr>
      <w:t xml:space="preserve">  </w:t>
    </w:r>
  </w:p>
  <w:p w14:paraId="224A8EB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17795">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CE4AC9">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1</w:t>
                          </w:r>
                          <w:r>
                            <w:rPr>
                              <w:rFonts w:hint="eastAsia"/>
                            </w:rPr>
                            <w:fldChar w:fldCharType="end"/>
                          </w:r>
                        </w:p>
                      </w:txbxContent>
                    </wps:txbx>
                    <wps:bodyPr wrap="none" lIns="0" tIns="0" rIns="0" bIns="0" upright="1">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5qrps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t8uyTB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rmqumzAEAAJwDAAAOAAAAAAAAAAEAIAAAAB4BAABkcnMvZTJv&#10;RG9jLnhtbFBLBQYAAAAABgAGAFkBAABcBQAAAAA=&#10;">
              <v:fill on="f" focussize="0,0"/>
              <v:stroke on="f"/>
              <v:imagedata o:title=""/>
              <o:lock v:ext="edit" aspectratio="f"/>
              <v:textbox inset="0mm,0mm,0mm,0mm" style="mso-fit-shape-to-text:t;">
                <w:txbxContent>
                  <w:p w14:paraId="7FCE4AC9">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528"/>
    <w:rsid w:val="0011628A"/>
    <w:rsid w:val="003B31EB"/>
    <w:rsid w:val="005B6528"/>
    <w:rsid w:val="009C2C72"/>
    <w:rsid w:val="00AE3E20"/>
    <w:rsid w:val="00B97BED"/>
    <w:rsid w:val="00C048A6"/>
    <w:rsid w:val="3CED49C8"/>
    <w:rsid w:val="55DF77BB"/>
    <w:rsid w:val="7C633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0"/>
    <w:qFormat/>
    <w:uiPriority w:val="9"/>
    <w:pPr>
      <w:keepNext/>
      <w:keepLines/>
      <w:spacing w:before="260" w:after="260" w:line="416" w:lineRule="auto"/>
      <w:outlineLvl w:val="1"/>
    </w:pPr>
    <w:rPr>
      <w:rFonts w:ascii="Cambria" w:hAnsi="Cambria"/>
      <w:b/>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autoRedefine/>
    <w:semiHidden/>
    <w:unhideWhenUsed/>
    <w:uiPriority w:val="99"/>
    <w:pPr>
      <w:ind w:left="1400" w:leftChars="1400"/>
    </w:pPr>
  </w:style>
  <w:style w:type="paragraph" w:styleId="4">
    <w:name w:val="Plain Text"/>
    <w:basedOn w:val="1"/>
    <w:next w:val="3"/>
    <w:link w:val="12"/>
    <w:qFormat/>
    <w:uiPriority w:val="0"/>
    <w:rPr>
      <w:rFonts w:ascii="宋体" w:hAnsi="Courier New" w:cs="Courier New"/>
      <w:szCs w:val="21"/>
    </w:rPr>
  </w:style>
  <w:style w:type="paragraph" w:styleId="5">
    <w:name w:val="footer"/>
    <w:basedOn w:val="1"/>
    <w:link w:val="13"/>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character" w:customStyle="1" w:styleId="8">
    <w:name w:val="标题 2 Char"/>
    <w:basedOn w:val="7"/>
    <w:link w:val="2"/>
    <w:semiHidden/>
    <w:uiPriority w:val="9"/>
    <w:rPr>
      <w:rFonts w:asciiTheme="majorHAnsi" w:hAnsiTheme="majorHAnsi" w:eastAsiaTheme="majorEastAsia" w:cstheme="majorBidi"/>
      <w:b/>
      <w:bCs/>
      <w:sz w:val="32"/>
      <w:szCs w:val="32"/>
    </w:rPr>
  </w:style>
  <w:style w:type="character" w:customStyle="1" w:styleId="9">
    <w:name w:val="页脚 Char"/>
    <w:link w:val="5"/>
    <w:uiPriority w:val="99"/>
    <w:rPr>
      <w:sz w:val="18"/>
      <w:szCs w:val="18"/>
    </w:rPr>
  </w:style>
  <w:style w:type="character" w:customStyle="1" w:styleId="10">
    <w:name w:val="标题 2 Char1"/>
    <w:link w:val="2"/>
    <w:uiPriority w:val="9"/>
    <w:rPr>
      <w:rFonts w:ascii="Cambria" w:hAnsi="Cambria" w:eastAsia="宋体" w:cs="Times New Roman"/>
      <w:b/>
      <w:bCs/>
      <w:sz w:val="32"/>
      <w:szCs w:val="32"/>
    </w:rPr>
  </w:style>
  <w:style w:type="character" w:customStyle="1" w:styleId="11">
    <w:name w:val="纯文本 Char1"/>
    <w:link w:val="4"/>
    <w:qFormat/>
    <w:uiPriority w:val="0"/>
    <w:rPr>
      <w:rFonts w:ascii="宋体" w:hAnsi="Courier New" w:eastAsia="宋体" w:cs="Courier New"/>
      <w:szCs w:val="21"/>
    </w:rPr>
  </w:style>
  <w:style w:type="character" w:customStyle="1" w:styleId="12">
    <w:name w:val="纯文本 Char"/>
    <w:basedOn w:val="7"/>
    <w:link w:val="4"/>
    <w:semiHidden/>
    <w:uiPriority w:val="99"/>
    <w:rPr>
      <w:rFonts w:ascii="宋体" w:hAnsi="Courier New" w:eastAsia="宋体" w:cs="Courier New"/>
      <w:szCs w:val="21"/>
    </w:rPr>
  </w:style>
  <w:style w:type="character" w:customStyle="1" w:styleId="13">
    <w:name w:val="页脚 Char1"/>
    <w:basedOn w:val="7"/>
    <w:link w:val="5"/>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4376</Words>
  <Characters>4485</Characters>
  <Lines>33</Lines>
  <Paragraphs>9</Paragraphs>
  <TotalTime>24</TotalTime>
  <ScaleCrop>false</ScaleCrop>
  <LinksUpToDate>false</LinksUpToDate>
  <CharactersWithSpaces>4492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2025-01-20T01:23:00Z</dcterms:created>
  <dc:creator>abc</dc:creator>
  <cp:lastModifiedBy>张凯</cp:lastModifiedBy>
  <dcterms:modified xsi:type="dcterms:W3CDTF">2025-01-20T07:11:20Z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eyJoZGlkIjoiN2FjMmUxOWI2NjViMzIxYjQ4OTQwODkyYzk0Mjg0YWIiLCJ1c2VySWQiOiI0NDk3OTkxMDMifQ==</vt:lpwstr>
  </property>
  <property fmtid="{D5CDD505-2E9C-101B-9397-08002B2CF9AE}" pid="3" name="KSOProductBuildVer">
    <vt:lpwstr>2052-12.1.0.19770</vt:lpwstr>
  </property>
  <property fmtid="{D5CDD505-2E9C-101B-9397-08002B2CF9AE}" pid="4" name="ICV">
    <vt:lpwstr>F8F023163D4A4834BFED359BBB2BDAB7_12</vt:lpwstr>
  </property>
</Properties>
</file>