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ADF91">
      <w:pPr>
        <w:pageBreakBefore/>
        <w:snapToGrid w:val="0"/>
        <w:spacing w:before="120" w:after="120"/>
        <w:jc w:val="center"/>
        <w:outlineLvl w:val="0"/>
        <w:rPr>
          <w:rFonts w:ascii="宋体" w:hAnsi="宋体" w:cs="宋体"/>
          <w:b/>
          <w:sz w:val="32"/>
          <w:szCs w:val="32"/>
        </w:rPr>
      </w:pPr>
      <w:r>
        <w:rPr>
          <w:rFonts w:hint="eastAsia" w:ascii="宋体" w:hAnsi="宋体" w:cs="宋体"/>
          <w:b/>
          <w:sz w:val="32"/>
          <w:szCs w:val="32"/>
        </w:rPr>
        <w:t>医用液氧及其他瓶装气体相关服务评标办法及评分标准</w:t>
      </w:r>
    </w:p>
    <w:p w14:paraId="5C672BF9">
      <w:pPr>
        <w:spacing w:line="460" w:lineRule="exact"/>
        <w:rPr>
          <w:rFonts w:ascii="宋体" w:hAnsi="宋体" w:cs="宋体"/>
          <w:bCs/>
          <w:szCs w:val="21"/>
        </w:rPr>
      </w:pPr>
      <w:r>
        <w:rPr>
          <w:rFonts w:hint="eastAsia" w:ascii="宋体" w:hAnsi="宋体" w:cs="宋体"/>
          <w:bCs/>
          <w:szCs w:val="21"/>
        </w:rPr>
        <w:t>本项目评标方法：综合评分法</w:t>
      </w:r>
    </w:p>
    <w:p w14:paraId="53DE6745">
      <w:pPr>
        <w:spacing w:line="460" w:lineRule="exact"/>
        <w:rPr>
          <w:rFonts w:ascii="宋体" w:hAnsi="宋体" w:cs="宋体"/>
          <w:b/>
          <w:bCs/>
          <w:szCs w:val="21"/>
        </w:rPr>
      </w:pPr>
      <w:r>
        <w:rPr>
          <w:rFonts w:hint="eastAsia" w:ascii="宋体" w:hAnsi="宋体" w:cs="宋体"/>
          <w:b/>
          <w:bCs/>
          <w:szCs w:val="21"/>
          <w:lang w:val="en-US" w:eastAsia="zh-CN"/>
        </w:rPr>
        <w:t>一</w:t>
      </w:r>
      <w:r>
        <w:rPr>
          <w:rFonts w:hint="eastAsia" w:ascii="宋体" w:hAnsi="宋体" w:cs="宋体"/>
          <w:b/>
          <w:bCs/>
          <w:szCs w:val="21"/>
        </w:rPr>
        <w:t>、评定方法</w:t>
      </w:r>
    </w:p>
    <w:p w14:paraId="23970C2D">
      <w:pPr>
        <w:spacing w:line="460" w:lineRule="exact"/>
        <w:ind w:firstLine="420"/>
        <w:rPr>
          <w:rFonts w:ascii="宋体" w:hAnsi="宋体" w:cs="宋体"/>
          <w:bCs/>
          <w:szCs w:val="21"/>
        </w:rPr>
      </w:pPr>
      <w:r>
        <w:rPr>
          <w:rFonts w:hint="eastAsia" w:ascii="宋体" w:hAnsi="宋体" w:cs="宋体"/>
          <w:bCs/>
          <w:szCs w:val="21"/>
        </w:rPr>
        <w:t>（一）对进入详评的，采用百分制综合评分法。</w:t>
      </w:r>
    </w:p>
    <w:p w14:paraId="58F97F43">
      <w:pPr>
        <w:spacing w:line="460" w:lineRule="exact"/>
        <w:ind w:firstLine="420"/>
        <w:rPr>
          <w:rFonts w:ascii="宋体" w:hAnsi="宋体" w:cs="宋体"/>
          <w:bCs/>
          <w:szCs w:val="21"/>
        </w:rPr>
      </w:pPr>
      <w:r>
        <w:rPr>
          <w:rFonts w:hint="eastAsia" w:ascii="宋体" w:hAnsi="宋体" w:cs="宋体"/>
          <w:bCs/>
          <w:szCs w:val="21"/>
        </w:rPr>
        <w:t>（二）计分办法（按四舍五入取至百分位）：</w:t>
      </w:r>
    </w:p>
    <w:p w14:paraId="440FB8A8">
      <w:pPr>
        <w:spacing w:line="460" w:lineRule="exact"/>
        <w:rPr>
          <w:rFonts w:ascii="宋体" w:hAnsi="宋体" w:cs="宋体"/>
          <w:b/>
          <w:szCs w:val="21"/>
        </w:rPr>
      </w:pPr>
      <w:r>
        <w:rPr>
          <w:rFonts w:ascii="宋体" w:hAnsi="宋体" w:cs="宋体"/>
          <w:b/>
          <w:szCs w:val="21"/>
        </w:rPr>
        <w:t>1</w:t>
      </w:r>
      <w:r>
        <w:rPr>
          <w:rFonts w:hint="eastAsia" w:ascii="宋体" w:hAnsi="宋体" w:cs="宋体"/>
          <w:b/>
          <w:szCs w:val="21"/>
        </w:rPr>
        <w:t>、价格分…………………………………………………………………………………………30分</w:t>
      </w:r>
    </w:p>
    <w:p w14:paraId="7D53415A">
      <w:pPr>
        <w:spacing w:afterLines="100" w:line="460" w:lineRule="exact"/>
        <w:ind w:firstLine="420" w:firstLineChars="200"/>
        <w:rPr>
          <w:rFonts w:ascii="宋体" w:hAnsi="宋体" w:cs="宋体"/>
          <w:szCs w:val="21"/>
        </w:rPr>
      </w:pPr>
      <w:r>
        <w:rPr>
          <w:rFonts w:hint="eastAsia" w:ascii="宋体" w:hAnsi="宋体" w:cs="宋体"/>
          <w:szCs w:val="21"/>
        </w:rPr>
        <w:t>价格分计算公式：</w:t>
      </w:r>
    </w:p>
    <w:p w14:paraId="13E7DCA5">
      <w:pPr>
        <w:spacing w:line="460" w:lineRule="exact"/>
        <w:ind w:firstLine="2520" w:firstLineChars="1200"/>
        <w:rPr>
          <w:rFonts w:hint="eastAsia" w:ascii="宋体" w:hAnsi="宋体" w:cs="宋体"/>
          <w:szCs w:val="21"/>
        </w:rPr>
      </w:pPr>
    </w:p>
    <w:p w14:paraId="14E420E4">
      <w:pPr>
        <w:spacing w:line="460" w:lineRule="exact"/>
        <w:ind w:firstLine="2520" w:firstLineChars="1200"/>
        <w:rPr>
          <w:rFonts w:ascii="宋体" w:hAnsi="宋体" w:cs="宋体"/>
          <w:szCs w:val="21"/>
        </w:rPr>
      </w:pPr>
      <w:r>
        <w:rPr>
          <w:rFonts w:hint="eastAsia" w:ascii="宋体" w:hAnsi="宋体" w:cs="宋体"/>
          <w:szCs w:val="21"/>
        </w:rPr>
        <w:t>有效投标人最低评标报价</w:t>
      </w:r>
    </w:p>
    <w:p w14:paraId="19537DFB">
      <w:pPr>
        <w:spacing w:line="460" w:lineRule="exact"/>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1473200</wp:posOffset>
                </wp:positionH>
                <wp:positionV relativeFrom="paragraph">
                  <wp:posOffset>81915</wp:posOffset>
                </wp:positionV>
                <wp:extent cx="2053590" cy="635"/>
                <wp:effectExtent l="0" t="4445" r="3810" b="889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05359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6pt;margin-top:6.45pt;height:0.05pt;width:161.7pt;z-index:251659264;mso-width-relative:page;mso-height-relative:page;" filled="f" stroked="t" coordsize="21600,21600" o:gfxdata="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rLJ&#10;mdcAAAAJAQAADwAAAAAAAAABACAAAAAiAAAAZHJzL2Rvd25yZXYueG1sUEsBAhQAFAAAAAgAh07i&#10;QNwGp9DqAQAAug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cs="宋体"/>
          <w:szCs w:val="21"/>
        </w:rPr>
        <w:t>某投标人价格分</w:t>
      </w:r>
      <w:r>
        <w:rPr>
          <w:rFonts w:ascii="宋体" w:hAnsi="宋体" w:cs="宋体"/>
          <w:szCs w:val="21"/>
        </w:rPr>
        <w:t xml:space="preserve">=                                     </w:t>
      </w:r>
      <w:r>
        <w:rPr>
          <w:rFonts w:hint="eastAsia" w:ascii="宋体" w:hAnsi="宋体" w:cs="宋体"/>
          <w:szCs w:val="21"/>
        </w:rPr>
        <w:t>×30分</w:t>
      </w:r>
    </w:p>
    <w:p w14:paraId="7D81983B">
      <w:pPr>
        <w:tabs>
          <w:tab w:val="left" w:pos="5760"/>
        </w:tabs>
        <w:spacing w:line="460" w:lineRule="exact"/>
        <w:ind w:left="311" w:leftChars="148" w:firstLine="2310" w:firstLineChars="1100"/>
        <w:rPr>
          <w:rFonts w:ascii="宋体" w:hAnsi="宋体" w:cs="宋体"/>
          <w:szCs w:val="21"/>
        </w:rPr>
      </w:pPr>
      <w:r>
        <w:rPr>
          <w:rFonts w:hint="eastAsia" w:ascii="宋体" w:hAnsi="宋体" w:cs="宋体"/>
          <w:szCs w:val="21"/>
        </w:rPr>
        <w:t>某投标人有效评标报价</w:t>
      </w:r>
    </w:p>
    <w:p w14:paraId="77E3885C">
      <w:pPr>
        <w:rPr>
          <w:rFonts w:ascii="宋体" w:hAnsi="宋体" w:cs="宋体"/>
          <w:b/>
          <w:bCs/>
          <w:szCs w:val="21"/>
        </w:rPr>
      </w:pPr>
      <w:r>
        <w:rPr>
          <w:rFonts w:hint="eastAsia" w:ascii="宋体" w:hAnsi="宋体" w:cs="宋体"/>
          <w:b/>
          <w:bCs/>
          <w:szCs w:val="21"/>
        </w:rPr>
        <w:t>2、货物性能分（满分20分）</w:t>
      </w:r>
    </w:p>
    <w:p w14:paraId="11BF3D8D">
      <w:pPr>
        <w:spacing w:line="460" w:lineRule="exact"/>
        <w:ind w:firstLine="420" w:firstLineChars="200"/>
        <w:rPr>
          <w:rFonts w:ascii="宋体" w:hAnsi="宋体" w:cs="宋体"/>
          <w:szCs w:val="21"/>
        </w:rPr>
      </w:pPr>
      <w:r>
        <w:rPr>
          <w:rFonts w:hint="eastAsia" w:ascii="宋体" w:hAnsi="宋体" w:cs="宋体"/>
          <w:szCs w:val="21"/>
        </w:rPr>
        <w:t>（由评委根据投标潜在投标人提供的方案优劣独立打分，以下各项不重复计分）</w:t>
      </w:r>
    </w:p>
    <w:p w14:paraId="3675D471">
      <w:pPr>
        <w:spacing w:line="460" w:lineRule="exact"/>
        <w:ind w:firstLine="420" w:firstLineChars="200"/>
        <w:rPr>
          <w:rFonts w:ascii="宋体" w:hAnsi="宋体" w:cs="宋体"/>
          <w:szCs w:val="21"/>
        </w:rPr>
      </w:pPr>
      <w:r>
        <w:rPr>
          <w:rFonts w:hint="eastAsia" w:ascii="宋体" w:hAnsi="宋体" w:cs="宋体"/>
          <w:szCs w:val="21"/>
        </w:rPr>
        <w:t>评标委员会根据投标人的货物性能，由评标委员会按确定后的各投标人所属档次并打分，不提供的得0分。</w:t>
      </w:r>
    </w:p>
    <w:p w14:paraId="54E41AA1">
      <w:pPr>
        <w:spacing w:line="460" w:lineRule="exact"/>
        <w:ind w:firstLine="420" w:firstLineChars="200"/>
        <w:jc w:val="left"/>
        <w:rPr>
          <w:rFonts w:ascii="宋体" w:hAnsi="宋体" w:cs="宋体"/>
          <w:szCs w:val="21"/>
        </w:rPr>
      </w:pPr>
      <w:r>
        <w:rPr>
          <w:rFonts w:hint="eastAsia" w:ascii="宋体" w:hAnsi="宋体" w:cs="宋体"/>
          <w:szCs w:val="21"/>
        </w:rPr>
        <w:t>一档（10分）：基本符合招标文件要求，配置基本清楚，货物综合质量、性能、配置较为一般的。</w:t>
      </w:r>
    </w:p>
    <w:p w14:paraId="7998BEEA">
      <w:pPr>
        <w:spacing w:line="460" w:lineRule="exact"/>
        <w:ind w:firstLine="420" w:firstLineChars="200"/>
        <w:jc w:val="left"/>
        <w:rPr>
          <w:rFonts w:ascii="宋体" w:hAnsi="宋体" w:cs="宋体"/>
          <w:szCs w:val="21"/>
        </w:rPr>
      </w:pPr>
      <w:r>
        <w:rPr>
          <w:rFonts w:hint="eastAsia" w:ascii="宋体" w:hAnsi="宋体" w:cs="宋体"/>
          <w:szCs w:val="21"/>
        </w:rPr>
        <w:t>二档（15分）：完全符合或略优于招标文件要求，主要技术参数及配置较详细，货物综合质量、性能、配置同比较好。</w:t>
      </w:r>
    </w:p>
    <w:p w14:paraId="3D979C10">
      <w:pPr>
        <w:pStyle w:val="3"/>
        <w:spacing w:line="460" w:lineRule="exact"/>
        <w:ind w:left="-134" w:leftChars="-64" w:firstLine="525" w:firstLineChars="250"/>
        <w:jc w:val="left"/>
        <w:rPr>
          <w:rFonts w:hAnsi="宋体" w:cs="宋体"/>
        </w:rPr>
      </w:pPr>
      <w:r>
        <w:rPr>
          <w:rFonts w:hint="eastAsia" w:hAnsi="宋体" w:cs="宋体"/>
        </w:rPr>
        <w:t>三档（20分）：完全符合招标文件要求，技术参数及配置详细，没有任何负偏离且主要货物主要技术指标或技术方案明显高于招标文件要求（指对货物性能有显著提升）或货物综合品牌、质量、性能、配置明显优于其他投标人且被评标委员会接受。</w:t>
      </w:r>
    </w:p>
    <w:p w14:paraId="227BC70B">
      <w:pPr>
        <w:spacing w:line="460" w:lineRule="exact"/>
        <w:ind w:firstLine="422" w:firstLineChars="200"/>
        <w:rPr>
          <w:rFonts w:ascii="宋体" w:hAnsi="宋体" w:cs="宋体"/>
          <w:b/>
          <w:bCs/>
          <w:szCs w:val="21"/>
        </w:rPr>
      </w:pPr>
      <w:r>
        <w:rPr>
          <w:rFonts w:hint="eastAsia" w:ascii="宋体" w:hAnsi="宋体" w:cs="宋体"/>
          <w:b/>
          <w:bCs/>
          <w:szCs w:val="21"/>
        </w:rPr>
        <w:t>3、项目实施方案（满分20分）</w:t>
      </w:r>
    </w:p>
    <w:p w14:paraId="5CB70A61">
      <w:pPr>
        <w:pStyle w:val="3"/>
        <w:spacing w:line="460" w:lineRule="exact"/>
        <w:ind w:left="-134" w:leftChars="-64" w:firstLine="525" w:firstLineChars="250"/>
        <w:rPr>
          <w:rFonts w:hAnsi="宋体" w:cs="宋体"/>
          <w:bCs/>
        </w:rPr>
      </w:pPr>
      <w:r>
        <w:rPr>
          <w:rFonts w:hint="eastAsia" w:hAnsi="宋体" w:cs="宋体"/>
          <w:bCs/>
        </w:rPr>
        <w:t>由评标委员会在打分前就投标人的项目实施方案进行综合比较，由评标委员会按确定后的各投标人所属档次并打分，不提供的得0分。各评委在相应档次内独立打分。</w:t>
      </w:r>
    </w:p>
    <w:p w14:paraId="6C0BA723">
      <w:pPr>
        <w:pStyle w:val="3"/>
        <w:spacing w:line="460" w:lineRule="exact"/>
        <w:ind w:left="-134" w:leftChars="-64" w:firstLine="505" w:firstLineChars="250"/>
        <w:rPr>
          <w:rFonts w:hAnsi="宋体" w:cs="宋体"/>
          <w:spacing w:val="-4"/>
        </w:rPr>
      </w:pPr>
      <w:r>
        <w:rPr>
          <w:rFonts w:hint="eastAsia" w:hAnsi="宋体" w:cs="宋体"/>
          <w:spacing w:val="-4"/>
        </w:rPr>
        <w:t>一档（10分）：项目实施方案简单，能提供对接方案；保证项目实施的技术力量和人力资源安排基本满足要求，技术服务、技术培训的服务内容和措施同比一般。</w:t>
      </w:r>
    </w:p>
    <w:p w14:paraId="26CC005D">
      <w:pPr>
        <w:pStyle w:val="3"/>
        <w:spacing w:line="460" w:lineRule="exact"/>
        <w:ind w:left="-134" w:leftChars="-64" w:firstLine="505" w:firstLineChars="250"/>
        <w:rPr>
          <w:rFonts w:hAnsi="宋体" w:cs="宋体"/>
          <w:spacing w:val="-4"/>
        </w:rPr>
      </w:pPr>
      <w:r>
        <w:rPr>
          <w:rFonts w:hint="eastAsia" w:hAnsi="宋体" w:cs="宋体"/>
          <w:spacing w:val="-4"/>
        </w:rPr>
        <w:t>二档（15分）：项目实施方案较详细，能提供对接方案；保证项目实施的技术力量和人力资源安排满足项目实施要求，技术服务、技术培训的服务内容和措施同比较完善。</w:t>
      </w:r>
    </w:p>
    <w:p w14:paraId="7139BE0C">
      <w:pPr>
        <w:pStyle w:val="3"/>
        <w:spacing w:line="460" w:lineRule="exact"/>
        <w:ind w:left="-134" w:leftChars="-64" w:firstLine="505" w:firstLineChars="250"/>
        <w:rPr>
          <w:rFonts w:hAnsi="宋体" w:cs="宋体"/>
          <w:spacing w:val="-4"/>
        </w:rPr>
      </w:pPr>
      <w:r>
        <w:rPr>
          <w:rFonts w:hint="eastAsia" w:hAnsi="宋体" w:cs="宋体"/>
          <w:spacing w:val="-4"/>
        </w:rPr>
        <w:t>三档（20分）：项目实施方案详实，能切合本项目实际提供对接方案，方案能清楚的表明对本项目的熟悉程度，技术路线清晰可信；保证项目实施的技术力量和人力资源安排充足，技术服务、技术培训的服务内容和措施完善，建议的安装、调试、验收方法或方案同比更完善有效、更优化、切实可行。</w:t>
      </w:r>
    </w:p>
    <w:p w14:paraId="5421EB90">
      <w:pPr>
        <w:widowControl/>
        <w:spacing w:line="360" w:lineRule="auto"/>
        <w:ind w:firstLine="211" w:firstLineChars="100"/>
        <w:jc w:val="left"/>
        <w:rPr>
          <w:rFonts w:ascii="宋体" w:hAnsi="宋体" w:cs="宋体"/>
          <w:szCs w:val="21"/>
        </w:rPr>
      </w:pPr>
      <w:r>
        <w:rPr>
          <w:rFonts w:hint="eastAsia" w:ascii="宋体" w:hAnsi="宋体" w:cs="宋体"/>
          <w:b/>
          <w:kern w:val="0"/>
          <w:szCs w:val="21"/>
          <w:lang w:val="en-US" w:eastAsia="zh-CN"/>
        </w:rPr>
        <w:t>4</w:t>
      </w:r>
      <w:r>
        <w:rPr>
          <w:rFonts w:hint="eastAsia" w:ascii="宋体" w:hAnsi="宋体" w:cs="宋体"/>
          <w:b/>
          <w:kern w:val="0"/>
          <w:szCs w:val="21"/>
        </w:rPr>
        <w:t xml:space="preserve">、售后服务方案分（满分 20分） </w:t>
      </w:r>
    </w:p>
    <w:p w14:paraId="2DF5932E">
      <w:pPr>
        <w:pStyle w:val="3"/>
        <w:tabs>
          <w:tab w:val="left" w:pos="630"/>
        </w:tabs>
        <w:spacing w:line="460" w:lineRule="exact"/>
        <w:ind w:firstLine="420"/>
        <w:rPr>
          <w:rFonts w:hAnsi="宋体" w:cs="宋体"/>
          <w:bCs/>
        </w:rPr>
      </w:pPr>
      <w:r>
        <w:rPr>
          <w:rFonts w:hint="eastAsia" w:hAnsi="宋体" w:cs="宋体"/>
          <w:kern w:val="0"/>
        </w:rPr>
        <w:t xml:space="preserve">  </w:t>
      </w:r>
      <w:r>
        <w:rPr>
          <w:rFonts w:hint="eastAsia" w:hAnsi="宋体" w:cs="宋体"/>
          <w:bCs/>
        </w:rPr>
        <w:t>由评标委员会在打分前就投标人的售后服务方案进行综合比较，由评标委员会按确定后的各投标人所属档次并打分，不提供的得0分。各评委在相应档次内独立打分。</w:t>
      </w:r>
    </w:p>
    <w:p w14:paraId="5966AC78">
      <w:pPr>
        <w:pStyle w:val="3"/>
        <w:tabs>
          <w:tab w:val="left" w:pos="630"/>
        </w:tabs>
        <w:spacing w:line="460" w:lineRule="exact"/>
        <w:ind w:firstLine="420"/>
        <w:rPr>
          <w:rFonts w:hAnsi="宋体" w:cs="宋体"/>
          <w:bCs/>
        </w:rPr>
      </w:pPr>
      <w:r>
        <w:rPr>
          <w:rFonts w:hint="eastAsia" w:hAnsi="宋体" w:cs="宋体"/>
          <w:bCs/>
        </w:rPr>
        <w:t>一档（10分）：投标人提供的售后服务承诺简单，无具体故障无法排除时的解决方案（是否提供替代品或配件、是否有应急方案等）或无保修期外维修方案。。</w:t>
      </w:r>
    </w:p>
    <w:p w14:paraId="047FF930">
      <w:pPr>
        <w:pStyle w:val="3"/>
        <w:tabs>
          <w:tab w:val="left" w:pos="630"/>
        </w:tabs>
        <w:spacing w:line="460" w:lineRule="exact"/>
        <w:ind w:firstLine="420"/>
        <w:rPr>
          <w:rFonts w:hAnsi="宋体" w:cs="宋体"/>
          <w:bCs/>
        </w:rPr>
      </w:pPr>
      <w:r>
        <w:rPr>
          <w:rFonts w:hint="eastAsia" w:hAnsi="宋体" w:cs="宋体"/>
          <w:bCs/>
        </w:rPr>
        <w:t>二档（15分）：投标人提供的售后服务承诺内容基本完整，有具体的到达故障现场时间、故障出现解决方案、定期维护（注明时间）承诺、免费技术培训方案、保修期外维修方案。</w:t>
      </w:r>
    </w:p>
    <w:p w14:paraId="0215206E">
      <w:pPr>
        <w:spacing w:line="360" w:lineRule="auto"/>
        <w:ind w:firstLine="420" w:firstLineChars="200"/>
        <w:jc w:val="left"/>
        <w:rPr>
          <w:rFonts w:ascii="宋体" w:hAnsi="宋体" w:cs="宋体"/>
          <w:bCs/>
          <w:szCs w:val="21"/>
        </w:rPr>
      </w:pPr>
      <w:r>
        <w:rPr>
          <w:rFonts w:hint="eastAsia" w:ascii="宋体" w:hAnsi="宋体" w:cs="宋体"/>
          <w:bCs/>
          <w:szCs w:val="21"/>
        </w:rPr>
        <w:t>三档（20分）：投标人提供的售后服务承诺内容完整、可行，到达故障现场时间、故障出现解决方案、定期维护（注明时间）承诺、免费技术培训方案、保修期外维修方案、配套耗材的价格、其他优惠措施等方面优于招标文件要求并对采购人有实质性的帮助。</w:t>
      </w:r>
    </w:p>
    <w:p w14:paraId="723D27CA">
      <w:pPr>
        <w:widowControl/>
        <w:numPr>
          <w:ilvl w:val="0"/>
          <w:numId w:val="0"/>
        </w:numPr>
        <w:spacing w:line="360" w:lineRule="auto"/>
        <w:ind w:left="210" w:leftChars="0"/>
        <w:jc w:val="left"/>
        <w:rPr>
          <w:rFonts w:ascii="宋体" w:hAnsi="宋体" w:cs="宋体"/>
          <w:b/>
          <w:kern w:val="0"/>
          <w:szCs w:val="21"/>
        </w:rPr>
      </w:pPr>
      <w:bookmarkStart w:id="0" w:name="OLE_LINK1"/>
      <w:r>
        <w:rPr>
          <w:rFonts w:hint="eastAsia" w:ascii="宋体" w:hAnsi="宋体" w:cs="宋体"/>
          <w:b/>
          <w:kern w:val="0"/>
          <w:szCs w:val="21"/>
          <w:lang w:val="en-US" w:eastAsia="zh-CN"/>
        </w:rPr>
        <w:t>5、</w:t>
      </w:r>
      <w:r>
        <w:rPr>
          <w:rFonts w:hint="eastAsia" w:ascii="宋体" w:hAnsi="宋体" w:cs="宋体"/>
          <w:b/>
          <w:kern w:val="0"/>
          <w:szCs w:val="21"/>
        </w:rPr>
        <w:t>业绩</w:t>
      </w:r>
      <w:bookmarkEnd w:id="0"/>
      <w:r>
        <w:rPr>
          <w:rFonts w:hint="eastAsia" w:ascii="宋体" w:hAnsi="宋体" w:cs="宋体"/>
          <w:b/>
          <w:kern w:val="0"/>
          <w:szCs w:val="21"/>
        </w:rPr>
        <w:t>（满分10分）</w:t>
      </w:r>
    </w:p>
    <w:p w14:paraId="56C71DE6">
      <w:pPr>
        <w:pStyle w:val="2"/>
        <w:ind w:firstLine="420" w:firstLineChars="200"/>
        <w:rPr>
          <w:rFonts w:ascii="宋体" w:hAnsi="宋体" w:cs="宋体"/>
          <w:bCs/>
          <w:color w:val="auto"/>
          <w:sz w:val="21"/>
          <w:szCs w:val="21"/>
        </w:rPr>
      </w:pPr>
      <w:r>
        <w:rPr>
          <w:rFonts w:hint="eastAsia" w:ascii="宋体" w:hAnsi="宋体" w:cs="宋体"/>
          <w:bCs/>
          <w:sz w:val="21"/>
          <w:szCs w:val="21"/>
        </w:rPr>
        <w:t>20</w:t>
      </w:r>
      <w:r>
        <w:rPr>
          <w:rFonts w:hint="eastAsia" w:ascii="宋体" w:hAnsi="宋体" w:cs="宋体"/>
          <w:bCs/>
          <w:sz w:val="21"/>
          <w:szCs w:val="21"/>
          <w:lang w:val="en-US" w:eastAsia="zh-CN"/>
        </w:rPr>
        <w:t>22</w:t>
      </w:r>
      <w:bookmarkStart w:id="1" w:name="_GoBack"/>
      <w:bookmarkEnd w:id="1"/>
      <w:r>
        <w:rPr>
          <w:rFonts w:hint="eastAsia" w:ascii="宋体" w:hAnsi="宋体" w:cs="宋体"/>
          <w:bCs/>
          <w:sz w:val="21"/>
          <w:szCs w:val="21"/>
        </w:rPr>
        <w:t>年1月1日以来至投标截止日期止，投标人同类</w:t>
      </w:r>
      <w:r>
        <w:rPr>
          <w:rFonts w:hint="eastAsia" w:ascii="宋体" w:hAnsi="宋体" w:cs="宋体"/>
          <w:bCs/>
          <w:sz w:val="21"/>
          <w:szCs w:val="21"/>
          <w:lang w:val="en-US" w:eastAsia="zh-CN"/>
        </w:rPr>
        <w:t>服务</w:t>
      </w:r>
      <w:r>
        <w:rPr>
          <w:rFonts w:hint="eastAsia" w:ascii="宋体" w:hAnsi="宋体" w:cs="宋体"/>
          <w:bCs/>
          <w:sz w:val="21"/>
          <w:szCs w:val="21"/>
        </w:rPr>
        <w:t>的销售业绩，每个项目得2分，满</w:t>
      </w:r>
      <w:r>
        <w:rPr>
          <w:rFonts w:hint="eastAsia" w:ascii="宋体" w:hAnsi="宋体" w:cs="宋体"/>
          <w:bCs/>
          <w:color w:val="auto"/>
          <w:sz w:val="21"/>
          <w:szCs w:val="21"/>
        </w:rPr>
        <w:t>分10分。【提供合同或者中标通知书复印件（须附有采购货物清单及金额）】</w:t>
      </w:r>
    </w:p>
    <w:p w14:paraId="66B0741F">
      <w:pPr>
        <w:numPr>
          <w:ilvl w:val="0"/>
          <w:numId w:val="1"/>
        </w:numPr>
        <w:spacing w:line="480" w:lineRule="exact"/>
        <w:ind w:firstLine="422" w:firstLineChars="200"/>
        <w:outlineLvl w:val="1"/>
        <w:rPr>
          <w:rFonts w:hint="eastAsia" w:ascii="宋体" w:hAnsi="宋体" w:cs="宋体"/>
          <w:b/>
          <w:bCs/>
          <w:color w:val="auto"/>
          <w:szCs w:val="21"/>
          <w:lang w:val="en-US" w:eastAsia="zh-CN"/>
        </w:rPr>
      </w:pPr>
      <w:r>
        <w:rPr>
          <w:rFonts w:hint="eastAsia" w:ascii="宋体" w:hAnsi="宋体" w:cs="宋体"/>
          <w:b/>
          <w:bCs/>
          <w:color w:val="auto"/>
          <w:szCs w:val="21"/>
        </w:rPr>
        <w:t>总得分＝1+2+3+4</w:t>
      </w:r>
      <w:r>
        <w:rPr>
          <w:rFonts w:hint="eastAsia" w:ascii="宋体" w:hAnsi="宋体" w:cs="宋体"/>
          <w:b/>
          <w:bCs/>
          <w:color w:val="auto"/>
          <w:szCs w:val="21"/>
          <w:lang w:val="en-US" w:eastAsia="zh-CN"/>
        </w:rPr>
        <w:t>+5</w:t>
      </w:r>
    </w:p>
    <w:p w14:paraId="0975D1AC">
      <w:pPr>
        <w:spacing w:line="4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三、中标候选人推荐原则</w:t>
      </w:r>
    </w:p>
    <w:p w14:paraId="1EC74C13">
      <w:pPr>
        <w:pStyle w:val="3"/>
        <w:spacing w:before="120" w:after="12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评标委员会将根据得分由高到低排列次序（得分相同时，以投标报价由低到高顺序排列；得分相同且投标报价相同的，按技术指标优劣顺序排列）并推荐中标候选潜在投标人。招标采购单位应当确定评审委员会推荐排名第一的中标候选人为中标人。排名第一的中标候选人放弃中标、因不可抗力提出不能履行合同，或者招标文件规定应当提交质量保证金而在规定的期限内未能提交的，招标采购单位可以确定排名第二的中标候选人为中标人。排名第二的中标候选人因前款规定的同样原因不能签订合同的，招标采购单位可以确定排名第三的中标候选人为中标人。     </w:t>
      </w:r>
    </w:p>
    <w:p w14:paraId="37CC5902">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委员会认为投标人的报价明显低于其他通过符合性审查投标人的报价，有可能影响产品质量或者不能诚信履约的，应要求其在评标现场合理的时间内提供书面说明，并要求提交相关证明材料；投标人不能证明其报价合理性的，评标委员会应当将其作为无效投标处理。</w:t>
      </w:r>
    </w:p>
    <w:p w14:paraId="41E6845E">
      <w:pPr>
        <w:spacing w:line="480" w:lineRule="exact"/>
        <w:ind w:firstLine="426" w:firstLineChars="2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四、特别说明</w:t>
      </w:r>
    </w:p>
    <w:p w14:paraId="12BD4068">
      <w:pPr>
        <w:pStyle w:val="3"/>
        <w:spacing w:line="4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时，评标委员会在评标过程中如发现投标人的总报价明显低于其他投标人的报价或明显低于市场价格，有理由怀疑其总报价可能低于其成本核算，可要求该投标人做出书面说明并提供报价来源相关证明资料。投标人不能合理说明或者不能提供报价来源相关证明资料的，视作该投标人以低于成本报价投标，对其投标文件不予评审。</w:t>
      </w:r>
      <w:r>
        <w:rPr>
          <w:rFonts w:hint="eastAsia" w:ascii="宋体" w:hAnsi="宋体" w:eastAsia="宋体" w:cs="宋体"/>
          <w:color w:val="auto"/>
          <w:sz w:val="21"/>
          <w:szCs w:val="21"/>
          <w:highlight w:val="none"/>
        </w:rPr>
        <w:t xml:space="preserve"> </w:t>
      </w:r>
    </w:p>
    <w:p w14:paraId="36984C7A">
      <w:pPr>
        <w:pStyle w:val="2"/>
        <w:numPr>
          <w:ilvl w:val="0"/>
          <w:numId w:val="0"/>
        </w:numPr>
        <w:rPr>
          <w:rFonts w:hint="default"/>
          <w:lang w:val="en-US" w:eastAsia="zh-CN"/>
        </w:rPr>
      </w:pPr>
    </w:p>
    <w:p w14:paraId="099D80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134CA"/>
    <w:multiLevelType w:val="singleLevel"/>
    <w:tmpl w:val="9C1134C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4E5C"/>
    <w:rsid w:val="14AE5414"/>
    <w:rsid w:val="153C6A85"/>
    <w:rsid w:val="157C25DB"/>
    <w:rsid w:val="208F7B8F"/>
    <w:rsid w:val="28C93C14"/>
    <w:rsid w:val="2DF05041"/>
    <w:rsid w:val="32720E48"/>
    <w:rsid w:val="3F7B4E5C"/>
    <w:rsid w:val="43104E14"/>
    <w:rsid w:val="683A48CA"/>
    <w:rsid w:val="69923F02"/>
    <w:rsid w:val="784B1EEF"/>
    <w:rsid w:val="7AA2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2403</Words>
  <Characters>2443</Characters>
  <Lines>0</Lines>
  <Paragraphs>0</Paragraphs>
  <TotalTime>0</TotalTime>
  <ScaleCrop>false</ScaleCrop>
  <LinksUpToDate>false</LinksUpToDate>
  <CharactersWithSpaces>2494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2025-01-07T00:24:00Z</dcterms:created>
  <dc:creator>Wilson</dc:creator>
  <cp:lastModifiedBy>Wilson</cp:lastModifiedBy>
  <dcterms:modified xsi:type="dcterms:W3CDTF">2025-01-23T01:26:16Z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F31E010D3EB0440CB7A006CE0CF407F4_13</vt:lpwstr>
  </property>
  <property fmtid="{D5CDD505-2E9C-101B-9397-08002B2CF9AE}" pid="4" name="KSOTemplateDocerSaveRecord">
    <vt:lpwstr>eyJoZGlkIjoiMTM0MGU2ZjZhMDc4MTI2ZWVlODM5NzdiOGMyNTBjMGMiLCJ1c2VySWQiOiI0NDA0NDU3MzEifQ==</vt:lpwstr>
  </property>
</Properties>
</file>