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设备名称：飞利浦UNIQ FD20维保服务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70C28DCB">
      <w:pPr>
        <w:pStyle w:val="3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sz w:val="24"/>
          <w:szCs w:val="24"/>
        </w:rPr>
        <w:t>技术要求</w:t>
      </w:r>
    </w:p>
    <w:p w14:paraId="499454DF">
      <w:pPr>
        <w:spacing w:line="360" w:lineRule="auto"/>
        <w:ind w:firstLine="420" w:firstLineChars="200"/>
      </w:pPr>
      <w:r>
        <w:rPr>
          <w:rFonts w:hint="eastAsia"/>
        </w:rPr>
        <w:t>1、本项目为</w:t>
      </w:r>
      <w:r>
        <w:rPr>
          <w:rFonts w:hint="eastAsia"/>
          <w:lang w:val="en-US" w:eastAsia="zh-CN"/>
        </w:rPr>
        <w:t>广西壮族自治区南溪山医院</w:t>
      </w:r>
      <w:r>
        <w:rPr>
          <w:rFonts w:hint="eastAsia"/>
          <w:szCs w:val="21"/>
          <w:lang w:val="en-US" w:eastAsia="zh-CN"/>
        </w:rPr>
        <w:t>UNIQ FD20</w:t>
      </w:r>
      <w:r>
        <w:rPr>
          <w:rFonts w:hint="eastAsia"/>
        </w:rPr>
        <w:t>维修保养服务。服务商（维保单位）必须按国家、行业的标准及招标文件的要求对项目内的设备进行系统的、全面的检测、维护及保养，以保证设备的高效、正常运作。</w:t>
      </w:r>
    </w:p>
    <w:tbl>
      <w:tblPr>
        <w:tblStyle w:val="8"/>
        <w:tblW w:w="8913" w:type="dxa"/>
        <w:tblInd w:w="-2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460"/>
        <w:gridCol w:w="1254"/>
        <w:gridCol w:w="2432"/>
        <w:gridCol w:w="979"/>
      </w:tblGrid>
      <w:tr w14:paraId="516C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DC4C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设备品牌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D4BD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项目实施点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2C86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设备名称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C988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设备型号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C9A3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数量</w:t>
            </w:r>
          </w:p>
        </w:tc>
      </w:tr>
      <w:tr w14:paraId="086D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25A2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飞利浦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95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广西壮族自治区南溪山医院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08954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医用血管造影机X射线系统（DSA）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9A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UNIQ FD20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71B6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1台</w:t>
            </w:r>
          </w:p>
        </w:tc>
      </w:tr>
    </w:tbl>
    <w:p w14:paraId="798856AA">
      <w:pPr>
        <w:spacing w:line="360" w:lineRule="auto"/>
        <w:ind w:firstLine="420" w:firstLineChars="200"/>
        <w:rPr>
          <w:rFonts w:hint="eastAsia" w:eastAsia="宋体"/>
          <w:lang w:val="en-AU" w:eastAsia="zh-CN"/>
        </w:rPr>
      </w:pPr>
      <w:r>
        <w:rPr>
          <w:rFonts w:hint="eastAsia"/>
        </w:rPr>
        <w:t>2、服务范围：包含主机、球管、探测器、其余备件更换费用和人工服务</w:t>
      </w:r>
      <w:r>
        <w:rPr>
          <w:rFonts w:hint="eastAsia"/>
          <w:lang w:val="en-US" w:eastAsia="zh-CN"/>
        </w:rPr>
        <w:t>及一次免费移机，</w:t>
      </w:r>
      <w:r>
        <w:rPr>
          <w:rFonts w:hint="eastAsia"/>
        </w:rPr>
        <w:t>远程支持费用等</w:t>
      </w:r>
      <w:r>
        <w:rPr>
          <w:rFonts w:hint="eastAsia"/>
          <w:lang w:val="en-AU"/>
        </w:rPr>
        <w:t>（不包括：55”以上显示器，FlexMove巡航导轨，所有第三方生产或拥有的设备和软件，如放射校正源，高压注射器，稳压电源，UPS，激光相机，外配打印机，录像机，视频外设，操作系统升级等</w:t>
      </w:r>
      <w:r>
        <w:rPr>
          <w:rFonts w:hint="eastAsia"/>
          <w:lang w:val="en-AU" w:eastAsia="zh-CN"/>
        </w:rPr>
        <w:t>）</w:t>
      </w:r>
    </w:p>
    <w:p w14:paraId="329581AF">
      <w:pPr>
        <w:spacing w:line="360" w:lineRule="auto"/>
        <w:ind w:firstLine="420" w:firstLineChars="200"/>
      </w:pPr>
      <w:r>
        <w:rPr>
          <w:rFonts w:hint="eastAsia"/>
        </w:rPr>
        <w:t>3、</w:t>
      </w:r>
      <w:r>
        <w:t>服务年限：</w:t>
      </w:r>
      <w:r>
        <w:rPr>
          <w:rFonts w:hint="eastAsia"/>
        </w:rPr>
        <w:t>自合同签订之日起执行3年</w:t>
      </w:r>
    </w:p>
    <w:p w14:paraId="4719D194"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</w:t>
      </w:r>
      <w:r>
        <w:t>、预防性保养：按照保养计划提供，</w:t>
      </w:r>
      <w:r>
        <w:rPr>
          <w:highlight w:val="none"/>
        </w:rPr>
        <w:t>每年提供</w:t>
      </w:r>
      <w:r>
        <w:rPr>
          <w:rFonts w:hint="eastAsia"/>
          <w:highlight w:val="none"/>
          <w:lang w:val="en-US" w:eastAsia="zh-CN"/>
        </w:rPr>
        <w:t>4</w:t>
      </w:r>
      <w:r>
        <w:rPr>
          <w:highlight w:val="none"/>
        </w:rPr>
        <w:t>次</w:t>
      </w:r>
      <w:r>
        <w:rPr>
          <w:rFonts w:hint="eastAsia"/>
          <w:highlight w:val="none"/>
          <w:lang w:val="en-US" w:eastAsia="zh-CN"/>
        </w:rPr>
        <w:t>以上</w:t>
      </w:r>
      <w:r>
        <w:rPr>
          <w:highlight w:val="none"/>
        </w:rPr>
        <w:t>专业保养</w:t>
      </w:r>
      <w:r>
        <w:t>，以保证设备处于最佳运行状态</w:t>
      </w:r>
      <w:r>
        <w:rPr>
          <w:rFonts w:hint="eastAsia"/>
          <w:lang w:eastAsia="zh-CN"/>
        </w:rPr>
        <w:t>，</w:t>
      </w:r>
      <w:r>
        <w:rPr>
          <w:rFonts w:hint="eastAsia"/>
          <w:bCs/>
          <w:sz w:val="24"/>
          <w:szCs w:val="24"/>
          <w:u w:val="none"/>
        </w:rPr>
        <w:t>并提供维修、保养报告单。</w:t>
      </w:r>
    </w:p>
    <w:p w14:paraId="7EB041D7"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、在合同期内保证 9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%</w:t>
      </w:r>
      <w:r>
        <w:rPr>
          <w:rFonts w:hint="eastAsia"/>
          <w:lang w:val="en-US" w:eastAsia="zh-CN"/>
        </w:rPr>
        <w:t>以上</w:t>
      </w:r>
      <w:r>
        <w:rPr>
          <w:rFonts w:hint="eastAsia"/>
        </w:rPr>
        <w:t>的开机率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按一年 365天计算。如果此开机率由于成交供应商的原因未能达到，按 1：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比例顺延保修期时间（即按天算、开机日每降低 1 个日历日，保修期顺延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个日历日）。</w:t>
      </w:r>
    </w:p>
    <w:p w14:paraId="36C4F723"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6、提供</w:t>
      </w:r>
      <w:r>
        <w:rPr>
          <w:color w:val="auto"/>
        </w:rPr>
        <w:t>24小时 *365天</w:t>
      </w:r>
      <w:r>
        <w:rPr>
          <w:rFonts w:hint="eastAsia"/>
          <w:bCs/>
          <w:color w:val="auto"/>
          <w:sz w:val="24"/>
          <w:szCs w:val="24"/>
          <w:u w:val="none"/>
        </w:rPr>
        <w:t>维修服务热线支持</w:t>
      </w:r>
      <w:r>
        <w:rPr>
          <w:rFonts w:hint="eastAsia"/>
          <w:bCs/>
          <w:color w:val="auto"/>
          <w:sz w:val="24"/>
          <w:szCs w:val="24"/>
          <w:u w:val="none"/>
          <w:lang w:eastAsia="zh-CN"/>
        </w:rPr>
        <w:t>，</w:t>
      </w:r>
      <w:r>
        <w:rPr>
          <w:color w:val="auto"/>
        </w:rPr>
        <w:t>为用户快速诊断和提供技术支持服务。</w:t>
      </w:r>
      <w:r>
        <w:rPr>
          <w:rFonts w:hint="eastAsia"/>
          <w:bCs/>
          <w:color w:val="auto"/>
          <w:sz w:val="24"/>
          <w:szCs w:val="24"/>
          <w:u w:val="none"/>
        </w:rPr>
        <w:t>故障维修达到设备现场的响应时间为24小时内</w:t>
      </w:r>
      <w:r>
        <w:rPr>
          <w:color w:val="auto"/>
        </w:rPr>
        <w:t>。</w:t>
      </w:r>
    </w:p>
    <w:p w14:paraId="235D32E5"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7</w:t>
      </w:r>
      <w:r>
        <w:t>、包含在保修合同期内所需的人工费用，签订保修合同的客户享受优先派工，节假日加班免费。</w:t>
      </w:r>
    </w:p>
    <w:p w14:paraId="7D4E36CA">
      <w:pPr>
        <w:spacing w:line="360" w:lineRule="auto"/>
        <w:ind w:firstLine="480" w:firstLineChars="200"/>
        <w:rPr>
          <w:rFonts w:hint="eastAsia"/>
          <w:bCs/>
          <w:sz w:val="24"/>
          <w:szCs w:val="24"/>
          <w:u w:val="none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、</w:t>
      </w:r>
      <w:r>
        <w:rPr>
          <w:rFonts w:hint="eastAsia"/>
          <w:bCs/>
          <w:sz w:val="24"/>
          <w:szCs w:val="24"/>
          <w:u w:val="none"/>
          <w:lang w:val="en-US" w:eastAsia="zh-CN"/>
        </w:rPr>
        <w:t>更换的零</w:t>
      </w:r>
      <w:r>
        <w:rPr>
          <w:rFonts w:hint="eastAsia" w:ascii="宋体" w:hAnsi="宋体" w:cs="宋体"/>
          <w:sz w:val="24"/>
          <w:szCs w:val="24"/>
        </w:rPr>
        <w:t>备件必须是原厂备件，每个配件都有独立的序</w:t>
      </w:r>
      <w:r>
        <w:rPr>
          <w:rFonts w:hint="eastAsia"/>
          <w:sz w:val="24"/>
          <w:szCs w:val="24"/>
        </w:rPr>
        <w:t>列号，来源合法且可追溯，保证不会对设备质量或图像产生不良影响。</w:t>
      </w:r>
      <w:r>
        <w:rPr>
          <w:rFonts w:hint="eastAsia"/>
          <w:sz w:val="24"/>
          <w:szCs w:val="24"/>
          <w:lang w:val="en-US" w:eastAsia="zh-CN"/>
        </w:rPr>
        <w:t>如需更换球管必须提供原厂全新球管，提供注册证、报关单等证明材料。</w:t>
      </w:r>
    </w:p>
    <w:p w14:paraId="0FEC7753">
      <w:pPr>
        <w:wordWrap w:val="0"/>
        <w:spacing w:line="360" w:lineRule="auto"/>
        <w:ind w:firstLine="516" w:firstLineChars="200"/>
        <w:rPr>
          <w:rFonts w:hint="eastAsia"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保修期内，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>投标人须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保证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>承保</w:t>
      </w:r>
      <w:r>
        <w:rPr>
          <w:rFonts w:hint="eastAsia" w:ascii="宋体" w:hAnsi="宋体" w:eastAsia="宋体" w:cs="宋体"/>
          <w:spacing w:val="9"/>
          <w:sz w:val="24"/>
          <w:szCs w:val="24"/>
        </w:rPr>
        <w:t>设备的运行质量及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图像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质量达到国家标准和</w:t>
      </w:r>
      <w:r>
        <w:rPr>
          <w:rFonts w:hint="eastAsia" w:cs="宋体"/>
          <w:spacing w:val="7"/>
          <w:sz w:val="24"/>
          <w:szCs w:val="24"/>
          <w:lang w:val="en-US" w:eastAsia="zh-CN"/>
        </w:rPr>
        <w:t>厂家</w:t>
      </w:r>
      <w:r>
        <w:rPr>
          <w:rFonts w:hint="eastAsia" w:ascii="宋体" w:hAnsi="宋体" w:eastAsia="宋体" w:cs="宋体"/>
          <w:spacing w:val="7"/>
          <w:sz w:val="24"/>
          <w:szCs w:val="24"/>
        </w:rPr>
        <w:t>软件检测标准，按照厂家标准定期</w:t>
      </w:r>
      <w:r>
        <w:rPr>
          <w:rFonts w:hint="eastAsia" w:ascii="宋体" w:hAnsi="宋体" w:eastAsia="宋体" w:cs="宋体"/>
          <w:spacing w:val="3"/>
          <w:sz w:val="24"/>
          <w:szCs w:val="24"/>
        </w:rPr>
        <w:t>进行调校/校正（不在保修范围内的部件造成质量不达标除外）,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保证以上设备能通过省、市有关质监部门的检测，须配合采购人完成相关检测。</w:t>
      </w:r>
    </w:p>
    <w:p w14:paraId="6DC587EA">
      <w:pPr>
        <w:pStyle w:val="15"/>
        <w:adjustRightInd w:val="0"/>
        <w:snapToGrid w:val="0"/>
        <w:spacing w:line="360" w:lineRule="auto"/>
        <w:ind w:left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spacing w:val="2"/>
          <w:sz w:val="24"/>
          <w:szCs w:val="24"/>
        </w:rPr>
        <w:t>远程服务：提供远程连接功能，用于远程故障解决、远程</w:t>
      </w:r>
      <w:r>
        <w:rPr>
          <w:rFonts w:hint="eastAsia"/>
          <w:spacing w:val="2"/>
          <w:sz w:val="24"/>
          <w:szCs w:val="24"/>
          <w:lang w:val="en-US" w:eastAsia="zh-CN"/>
        </w:rPr>
        <w:t>球管</w:t>
      </w:r>
      <w:r>
        <w:rPr>
          <w:spacing w:val="2"/>
          <w:sz w:val="24"/>
          <w:szCs w:val="24"/>
        </w:rPr>
        <w:t>监测等（提供软件</w:t>
      </w:r>
      <w:r>
        <w:rPr>
          <w:spacing w:val="1"/>
          <w:sz w:val="24"/>
          <w:szCs w:val="24"/>
        </w:rPr>
        <w:t>证书、软件截图等证明材料</w:t>
      </w:r>
      <w:r>
        <w:rPr>
          <w:rFonts w:hint="eastAsia"/>
          <w:spacing w:val="1"/>
          <w:sz w:val="24"/>
          <w:szCs w:val="24"/>
          <w:lang w:eastAsia="zh-CN"/>
        </w:rPr>
        <w:t>。</w:t>
      </w:r>
    </w:p>
    <w:p w14:paraId="63288982">
      <w:pPr>
        <w:wordWrap w:val="0"/>
        <w:spacing w:line="360" w:lineRule="auto"/>
        <w:rPr>
          <w:rFonts w:hint="eastAsia" w:ascii="宋体" w:cs="宋体"/>
          <w:b/>
          <w:bCs/>
          <w:sz w:val="24"/>
          <w:szCs w:val="24"/>
          <w:u w:val="none"/>
        </w:rPr>
      </w:pPr>
    </w:p>
    <w:p w14:paraId="63FE85E1">
      <w:pPr>
        <w:wordWrap w:val="0"/>
        <w:spacing w:line="360" w:lineRule="auto"/>
        <w:rPr>
          <w:rFonts w:hint="eastAsia" w:ascii="宋体" w:cs="宋体"/>
          <w:bCs/>
          <w:color w:val="000000"/>
          <w:sz w:val="24"/>
          <w:szCs w:val="24"/>
          <w:u w:val="none"/>
        </w:rPr>
      </w:pPr>
      <w:r>
        <w:rPr>
          <w:rFonts w:hint="eastAsia" w:ascii="宋体" w:cs="宋体"/>
          <w:b/>
          <w:bCs/>
          <w:sz w:val="24"/>
          <w:szCs w:val="24"/>
          <w:u w:val="none"/>
        </w:rPr>
        <w:t>（</w:t>
      </w:r>
      <w:r>
        <w:rPr>
          <w:rFonts w:hint="eastAsia" w:ascii="宋体" w:cs="宋体"/>
          <w:b/>
          <w:bCs/>
          <w:sz w:val="24"/>
          <w:szCs w:val="24"/>
          <w:u w:val="none"/>
          <w:lang w:val="en-US" w:eastAsia="zh-CN"/>
        </w:rPr>
        <w:t>二</w:t>
      </w:r>
      <w:r>
        <w:rPr>
          <w:rFonts w:hint="eastAsia" w:ascii="宋体" w:cs="宋体"/>
          <w:b/>
          <w:bCs/>
          <w:sz w:val="24"/>
          <w:szCs w:val="24"/>
          <w:u w:val="none"/>
        </w:rPr>
        <w:t>）其他要求</w:t>
      </w:r>
      <w:r>
        <w:rPr>
          <w:rFonts w:hint="eastAsia" w:ascii="宋体" w:cs="宋体"/>
          <w:bCs/>
          <w:sz w:val="24"/>
          <w:szCs w:val="24"/>
          <w:u w:val="none"/>
        </w:rPr>
        <w:t>：</w:t>
      </w:r>
    </w:p>
    <w:p w14:paraId="22165D8E">
      <w:pPr>
        <w:wordWrap w:val="0"/>
        <w:spacing w:line="360" w:lineRule="auto"/>
        <w:rPr>
          <w:rFonts w:ascii="宋体" w:cs="宋体"/>
          <w:bCs/>
          <w:sz w:val="24"/>
          <w:szCs w:val="24"/>
          <w:u w:val="none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cs="宋体"/>
          <w:bCs/>
          <w:sz w:val="24"/>
          <w:szCs w:val="24"/>
          <w:u w:val="none"/>
        </w:rPr>
        <w:t>、投标人在全国范围内应具有本项目维保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设备相同</w:t>
      </w:r>
      <w:r>
        <w:rPr>
          <w:rFonts w:hint="eastAsia" w:ascii="宋体" w:cs="宋体"/>
          <w:bCs/>
          <w:sz w:val="24"/>
          <w:szCs w:val="24"/>
          <w:u w:val="none"/>
        </w:rPr>
        <w:t>机型的全保在保合同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不少于3份</w:t>
      </w:r>
      <w:r>
        <w:rPr>
          <w:rFonts w:hint="eastAsia" w:ascii="宋体" w:cs="宋体"/>
          <w:bCs/>
          <w:sz w:val="24"/>
          <w:szCs w:val="24"/>
          <w:u w:val="none"/>
        </w:rPr>
        <w:t>（已签订的且在保内），应提供在保期内的合同复印件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或中标通知书</w:t>
      </w:r>
      <w:r>
        <w:rPr>
          <w:rFonts w:hint="eastAsia" w:ascii="宋体" w:cs="宋体"/>
          <w:bCs/>
          <w:sz w:val="24"/>
          <w:szCs w:val="24"/>
          <w:u w:val="none"/>
        </w:rPr>
        <w:t>作为证明资料，原件现场备查。</w:t>
      </w:r>
    </w:p>
    <w:p w14:paraId="12CE1509">
      <w:pPr>
        <w:wordWrap w:val="0"/>
        <w:spacing w:line="360" w:lineRule="auto"/>
        <w:rPr>
          <w:rFonts w:hint="eastAsia" w:ascii="宋体" w:cs="宋体"/>
          <w:bCs/>
          <w:sz w:val="24"/>
          <w:szCs w:val="24"/>
          <w:u w:val="none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cs="宋体"/>
          <w:bCs/>
          <w:sz w:val="24"/>
          <w:szCs w:val="24"/>
          <w:u w:val="none"/>
        </w:rPr>
        <w:t>、投标人应具有本项目维保对象机型的设备移机案例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不少于三个</w:t>
      </w:r>
      <w:r>
        <w:rPr>
          <w:rFonts w:hint="eastAsia" w:ascii="宋体" w:cs="宋体"/>
          <w:bCs/>
          <w:sz w:val="24"/>
          <w:szCs w:val="24"/>
          <w:u w:val="none"/>
        </w:rPr>
        <w:t>，提供合同复印件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和</w:t>
      </w:r>
      <w:r>
        <w:rPr>
          <w:rFonts w:hint="eastAsia" w:ascii="宋体" w:cs="宋体"/>
          <w:bCs/>
          <w:sz w:val="24"/>
          <w:szCs w:val="24"/>
          <w:u w:val="none"/>
        </w:rPr>
        <w:t>工单作为证明资料</w:t>
      </w:r>
      <w:r>
        <w:rPr>
          <w:rFonts w:hint="eastAsia" w:ascii="宋体" w:cs="宋体"/>
          <w:bCs/>
          <w:sz w:val="24"/>
          <w:szCs w:val="24"/>
          <w:u w:val="none"/>
          <w:lang w:eastAsia="zh-CN"/>
        </w:rPr>
        <w:t>。</w:t>
      </w:r>
    </w:p>
    <w:p w14:paraId="48D116B9">
      <w:pPr>
        <w:wordWrap w:val="0"/>
        <w:spacing w:line="360" w:lineRule="auto"/>
        <w:rPr>
          <w:rFonts w:hint="eastAsia" w:ascii="宋体" w:cs="宋体"/>
          <w:bCs/>
          <w:sz w:val="24"/>
          <w:szCs w:val="24"/>
          <w:u w:val="none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cs="宋体"/>
          <w:bCs/>
          <w:sz w:val="24"/>
          <w:szCs w:val="24"/>
          <w:u w:val="none"/>
        </w:rPr>
        <w:t>、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投标人</w:t>
      </w:r>
      <w:r>
        <w:rPr>
          <w:rFonts w:hint="eastAsia" w:ascii="宋体" w:cs="宋体"/>
          <w:bCs/>
          <w:sz w:val="24"/>
          <w:szCs w:val="24"/>
          <w:u w:val="none"/>
        </w:rPr>
        <w:t>须保证备件的正规来源及一致性，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配件库有核心部件（球管或探测器）的储备，</w:t>
      </w:r>
      <w:r>
        <w:rPr>
          <w:rFonts w:hint="eastAsia" w:ascii="宋体" w:cs="宋体"/>
          <w:bCs/>
          <w:sz w:val="24"/>
          <w:szCs w:val="24"/>
          <w:u w:val="none"/>
        </w:rPr>
        <w:t>应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标时</w:t>
      </w:r>
      <w:r>
        <w:rPr>
          <w:rFonts w:hint="eastAsia" w:ascii="宋体" w:cs="宋体"/>
          <w:bCs/>
          <w:sz w:val="24"/>
          <w:szCs w:val="24"/>
          <w:u w:val="none"/>
        </w:rPr>
        <w:t>提供发票或报关单复印件。</w:t>
      </w:r>
    </w:p>
    <w:p w14:paraId="51168B67">
      <w:pPr>
        <w:wordWrap w:val="0"/>
        <w:spacing w:line="360" w:lineRule="auto"/>
        <w:rPr>
          <w:rFonts w:hint="eastAsia" w:ascii="宋体" w:cs="宋体"/>
          <w:bCs/>
          <w:color w:val="000000"/>
          <w:sz w:val="24"/>
          <w:szCs w:val="24"/>
          <w:u w:val="none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cs="宋体"/>
          <w:bCs/>
          <w:sz w:val="24"/>
          <w:szCs w:val="24"/>
          <w:u w:val="none"/>
        </w:rPr>
        <w:t>、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投标人</w:t>
      </w:r>
      <w:r>
        <w:rPr>
          <w:rFonts w:hint="eastAsia" w:ascii="宋体" w:cs="宋体"/>
          <w:bCs/>
          <w:sz w:val="24"/>
          <w:szCs w:val="24"/>
          <w:u w:val="none"/>
        </w:rPr>
        <w:t>应在国内</w:t>
      </w:r>
      <w:r>
        <w:rPr>
          <w:rFonts w:hint="eastAsia" w:ascii="宋体" w:cs="宋体"/>
          <w:bCs/>
          <w:color w:val="000000"/>
          <w:sz w:val="24"/>
          <w:szCs w:val="24"/>
          <w:u w:val="none"/>
        </w:rPr>
        <w:t>有不少于200</w:t>
      </w:r>
      <w:r>
        <w:rPr>
          <w:rFonts w:hint="eastAsia" w:ascii="宋体" w:cs="宋体"/>
          <w:bCs/>
          <w:color w:val="000000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cs="宋体"/>
          <w:bCs/>
          <w:color w:val="000000"/>
          <w:sz w:val="24"/>
          <w:szCs w:val="24"/>
          <w:u w:val="none"/>
        </w:rPr>
        <w:t>平米备件库</w:t>
      </w:r>
      <w:r>
        <w:rPr>
          <w:rFonts w:hint="eastAsia" w:ascii="宋体" w:cs="宋体"/>
          <w:bCs/>
          <w:color w:val="000000"/>
          <w:sz w:val="24"/>
          <w:szCs w:val="24"/>
          <w:u w:val="none"/>
          <w:lang w:val="en-US" w:eastAsia="zh-CN"/>
        </w:rPr>
        <w:t>且配备有保税仓库</w:t>
      </w:r>
      <w:r>
        <w:rPr>
          <w:rFonts w:hint="eastAsia" w:ascii="宋体" w:cs="宋体"/>
          <w:bCs/>
          <w:color w:val="000000"/>
          <w:sz w:val="24"/>
          <w:szCs w:val="24"/>
          <w:u w:val="none"/>
        </w:rPr>
        <w:t>，确保7×24小时零备件供应，须提供相关证明</w:t>
      </w:r>
      <w:r>
        <w:rPr>
          <w:rFonts w:hint="eastAsia" w:ascii="宋体" w:cs="宋体"/>
          <w:bCs/>
          <w:color w:val="000000"/>
          <w:sz w:val="24"/>
          <w:szCs w:val="24"/>
          <w:u w:val="none"/>
          <w:lang w:eastAsia="zh-CN"/>
        </w:rPr>
        <w:t>（</w:t>
      </w:r>
      <w:r>
        <w:rPr>
          <w:rFonts w:hint="eastAsia" w:ascii="宋体" w:cs="宋体"/>
          <w:bCs/>
          <w:color w:val="000000"/>
          <w:sz w:val="24"/>
          <w:szCs w:val="24"/>
          <w:u w:val="none"/>
          <w:lang w:val="en-US" w:eastAsia="zh-CN"/>
        </w:rPr>
        <w:t>房产证明或租赁合同复印件）</w:t>
      </w:r>
      <w:r>
        <w:rPr>
          <w:rFonts w:hint="eastAsia" w:ascii="宋体" w:cs="宋体"/>
          <w:bCs/>
          <w:color w:val="000000"/>
          <w:sz w:val="24"/>
          <w:szCs w:val="24"/>
          <w:u w:val="none"/>
        </w:rPr>
        <w:t>。</w:t>
      </w:r>
    </w:p>
    <w:p w14:paraId="23730027">
      <w:pPr>
        <w:wordWrap w:val="0"/>
        <w:spacing w:line="360" w:lineRule="auto"/>
        <w:rPr>
          <w:rFonts w:hint="eastAsia" w:asci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cs="宋体"/>
          <w:bCs/>
          <w:sz w:val="24"/>
          <w:szCs w:val="24"/>
          <w:u w:val="none"/>
        </w:rPr>
        <w:t>、投标人应具有飞利浦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DSA</w:t>
      </w:r>
      <w:r>
        <w:rPr>
          <w:rFonts w:hint="eastAsia" w:ascii="宋体" w:cs="宋体"/>
          <w:bCs/>
          <w:sz w:val="24"/>
          <w:szCs w:val="24"/>
          <w:u w:val="none"/>
        </w:rPr>
        <w:t>设备专业维修工具，</w:t>
      </w:r>
      <w:r>
        <w:rPr>
          <w:rFonts w:hint="eastAsia" w:ascii="宋体" w:cs="宋体"/>
          <w:bCs/>
          <w:color w:val="auto"/>
          <w:sz w:val="24"/>
          <w:szCs w:val="24"/>
          <w:u w:val="none"/>
        </w:rPr>
        <w:t xml:space="preserve"> </w:t>
      </w:r>
      <w:r>
        <w:rPr>
          <w:color w:val="auto"/>
          <w:spacing w:val="1"/>
          <w:sz w:val="24"/>
          <w:szCs w:val="24"/>
        </w:rPr>
        <w:t>包含地阻测试仪、剂量检测仪、图像质量测试工具等</w:t>
      </w:r>
      <w:r>
        <w:rPr>
          <w:rFonts w:hint="eastAsia"/>
          <w:color w:val="auto"/>
          <w:spacing w:val="4"/>
          <w:sz w:val="24"/>
          <w:szCs w:val="24"/>
          <w:lang w:eastAsia="zh-CN"/>
        </w:rPr>
        <w:t>，</w:t>
      </w:r>
      <w:r>
        <w:rPr>
          <w:rFonts w:hint="eastAsia" w:ascii="宋体" w:cs="宋体"/>
          <w:bCs/>
          <w:color w:val="auto"/>
          <w:sz w:val="24"/>
          <w:szCs w:val="24"/>
          <w:u w:val="none"/>
        </w:rPr>
        <w:t>并提供工具清单</w:t>
      </w:r>
      <w:r>
        <w:rPr>
          <w:rFonts w:hint="eastAsia" w:ascii="宋体" w:cs="宋体"/>
          <w:bCs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宋体" w:cs="宋体"/>
          <w:bCs/>
          <w:color w:val="auto"/>
          <w:sz w:val="24"/>
          <w:szCs w:val="24"/>
          <w:u w:val="none"/>
        </w:rPr>
        <w:t>工具图</w:t>
      </w:r>
      <w:r>
        <w:rPr>
          <w:rFonts w:hint="eastAsia" w:ascii="宋体" w:cs="宋体"/>
          <w:bCs/>
          <w:sz w:val="24"/>
          <w:szCs w:val="24"/>
          <w:u w:val="none"/>
        </w:rPr>
        <w:t>片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及</w:t>
      </w:r>
      <w:r>
        <w:rPr>
          <w:spacing w:val="1"/>
          <w:sz w:val="24"/>
          <w:szCs w:val="24"/>
        </w:rPr>
        <w:t>第三方机构出具的有效的维修工具检测报告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。</w:t>
      </w:r>
    </w:p>
    <w:p w14:paraId="41EF2E0A">
      <w:pPr>
        <w:pStyle w:val="5"/>
        <w:spacing w:line="360" w:lineRule="auto"/>
        <w:rPr>
          <w:rFonts w:hint="eastAsia" w:ascii="宋体" w:cs="宋体"/>
          <w:bCs/>
          <w:sz w:val="24"/>
          <w:szCs w:val="24"/>
          <w:u w:val="none"/>
        </w:rPr>
      </w:pP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cs="宋体"/>
          <w:bCs/>
          <w:sz w:val="24"/>
          <w:szCs w:val="24"/>
          <w:u w:val="none"/>
        </w:rPr>
        <w:t>、</w:t>
      </w:r>
      <w:r>
        <w:rPr>
          <w:rFonts w:hint="eastAsia" w:ascii="宋体" w:cs="宋体"/>
          <w:bCs/>
          <w:sz w:val="24"/>
          <w:szCs w:val="24"/>
          <w:u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具有有效期内的ISO9001质量管理认证体系证书、ISO13485医疗器械质量管理体系认证证书、ISO45001职业健康安全管理体系认证证书、ISO14001环境管理体系认证证书，ISO27001信息安全管理体系认证证书</w:t>
      </w:r>
      <w:r>
        <w:rPr>
          <w:rFonts w:hint="eastAsia" w:ascii="宋体" w:cs="宋体"/>
          <w:bCs/>
          <w:sz w:val="24"/>
          <w:szCs w:val="24"/>
          <w:u w:val="none"/>
        </w:rPr>
        <w:t>（提供证书复印件）。</w:t>
      </w:r>
    </w:p>
    <w:p w14:paraId="45955753">
      <w:pPr>
        <w:pStyle w:val="17"/>
        <w:spacing w:line="360" w:lineRule="auto"/>
        <w:rPr>
          <w:rFonts w:hint="eastAsia" w:hAnsi="宋体"/>
          <w:sz w:val="24"/>
          <w:szCs w:val="24"/>
          <w:highlight w:val="none"/>
          <w:lang w:eastAsia="zh-CN"/>
        </w:rPr>
      </w:pPr>
      <w:r>
        <w:rPr>
          <w:rFonts w:hint="eastAsia"/>
          <w:bCs/>
          <w:sz w:val="24"/>
          <w:szCs w:val="24"/>
          <w:highlight w:val="none"/>
          <w:u w:val="none"/>
          <w:lang w:val="en-US" w:eastAsia="zh-CN"/>
        </w:rPr>
        <w:t>7、投标人须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服务团队，</w:t>
      </w:r>
      <w:r>
        <w:rPr>
          <w:rFonts w:hint="eastAsia" w:hAnsi="宋体" w:cs="宋体"/>
          <w:sz w:val="24"/>
          <w:szCs w:val="24"/>
          <w:lang w:val="en-US" w:eastAsia="zh-CN"/>
        </w:rPr>
        <w:t>拟</w:t>
      </w:r>
      <w:bookmarkStart w:id="0" w:name="_GoBack"/>
      <w:bookmarkEnd w:id="0"/>
      <w:r>
        <w:rPr>
          <w:rFonts w:hint="eastAsia" w:hAnsi="宋体" w:cs="宋体"/>
          <w:sz w:val="24"/>
          <w:szCs w:val="24"/>
          <w:lang w:val="en-US" w:eastAsia="zh-CN"/>
        </w:rPr>
        <w:t>派的全职工程师有飞利浦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厂家培训证书</w:t>
      </w:r>
      <w:r>
        <w:rPr>
          <w:rFonts w:hint="eastAsia" w:hAnsi="宋体" w:cs="宋体"/>
          <w:sz w:val="24"/>
          <w:szCs w:val="24"/>
          <w:lang w:val="en-US" w:eastAsia="zh-CN"/>
        </w:rPr>
        <w:t>不少于三名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提供厂家培训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证书复印件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及工程师近三个月社保证明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）。</w:t>
      </w:r>
    </w:p>
    <w:p w14:paraId="34BBC49B">
      <w:pPr>
        <w:pStyle w:val="11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1DF6CFE"/>
    <w:rsid w:val="12E82E96"/>
    <w:rsid w:val="12FB5DA0"/>
    <w:rsid w:val="137151BF"/>
    <w:rsid w:val="1379278A"/>
    <w:rsid w:val="162F2EF2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color w:val="000000"/>
      <w:sz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1437</Words>
  <Characters>2108</Characters>
  <Lines>18</Lines>
  <Paragraphs>5</Paragraphs>
  <TotalTime>1</TotalTime>
  <ScaleCrop>false</ScaleCrop>
  <LinksUpToDate>false</LinksUpToDate>
  <CharactersWithSpaces>2112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2025-02-28T08:35:01Z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