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CC30C2">
      <w:pPr>
        <w:rPr>
          <w:rFonts w:hint="eastAsia" w:ascii="宋体" w:hAnsi="宋体" w:cs="宋体"/>
          <w:b/>
          <w:sz w:val="28"/>
          <w:szCs w:val="28"/>
          <w:lang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设备名称：病人监护仪（配双通道有创血压）</w:t>
      </w:r>
    </w:p>
    <w:p w14:paraId="701CA88C">
      <w:pPr>
        <w:rPr>
          <w:rFonts w:hint="eastAsia" w:ascii="宋体" w:hAnsi="宋体" w:eastAsia="宋体" w:cs="宋体"/>
          <w:b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设备编号：NYZBB-SBK-202500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8</w:t>
      </w:r>
    </w:p>
    <w:p w14:paraId="4C5CB11E">
      <w:pPr>
        <w:rPr>
          <w:rFonts w:hint="default" w:ascii="宋体" w:hAnsi="宋体" w:cs="宋体"/>
          <w:b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 xml:space="preserve">数  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 </w:t>
      </w:r>
      <w:r>
        <w:rPr>
          <w:rFonts w:hint="eastAsia" w:ascii="宋体" w:hAnsi="宋体" w:cs="宋体"/>
          <w:b/>
          <w:sz w:val="28"/>
          <w:szCs w:val="28"/>
          <w:lang w:bidi="ar"/>
        </w:rPr>
        <w:t>量：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4台</w:t>
      </w:r>
    </w:p>
    <w:p w14:paraId="442B3572">
      <w:pPr>
        <w:jc w:val="center"/>
        <w:rPr>
          <w:rFonts w:hint="eastAsia" w:ascii="宋体" w:hAnsi="宋体" w:cs="宋体"/>
          <w:b/>
          <w:sz w:val="28"/>
          <w:szCs w:val="28"/>
          <w:lang w:eastAsia="zh-CN" w:bidi="ar"/>
        </w:rPr>
      </w:pPr>
      <w:r>
        <w:rPr>
          <w:rFonts w:hint="eastAsia" w:ascii="宋体" w:hAnsi="宋体" w:cs="宋体"/>
          <w:b/>
          <w:sz w:val="28"/>
          <w:szCs w:val="28"/>
          <w:lang w:eastAsia="zh-CN" w:bidi="ar"/>
        </w:rPr>
        <w:t>性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能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配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置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要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求</w:t>
      </w:r>
    </w:p>
    <w:p w14:paraId="1F5CB5AB">
      <w:pPr>
        <w:jc w:val="center"/>
        <w:rPr>
          <w:rFonts w:hint="eastAsia" w:ascii="宋体" w:hAnsi="宋体" w:cs="宋体"/>
          <w:b/>
          <w:sz w:val="28"/>
          <w:szCs w:val="28"/>
          <w:lang w:eastAsia="zh-CN" w:bidi="ar"/>
        </w:rPr>
      </w:pPr>
    </w:p>
    <w:p w14:paraId="23A92397">
      <w:pPr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 xml:space="preserve">一、物理指标 </w:t>
      </w:r>
    </w:p>
    <w:p w14:paraId="048368D2">
      <w:pPr>
        <w:spacing w:line="24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1.一体化多参数监护仪，彩色显示屏≥10英寸，分辨率不低于1280*800，支持同屏显示10道波形以同时观察丰富的信息。</w:t>
      </w:r>
    </w:p>
    <w:p w14:paraId="4106B874">
      <w:pPr>
        <w:spacing w:line="24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2.电容触摸屏设计，显示屏可视角≥170 度。</w:t>
      </w:r>
    </w:p>
    <w:p w14:paraId="7D5881B9">
      <w:pPr>
        <w:spacing w:line="24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3.具备心电、呼吸、无创血压、</w:t>
      </w:r>
      <w:r>
        <w:rPr>
          <w:rFonts w:hint="default"/>
          <w:sz w:val="24"/>
          <w:szCs w:val="24"/>
        </w:rPr>
        <w:t>有创血压、</w:t>
      </w:r>
      <w:r>
        <w:rPr>
          <w:rFonts w:hint="eastAsia"/>
          <w:sz w:val="24"/>
          <w:szCs w:val="24"/>
        </w:rPr>
        <w:t>血氧饱和度、脉率和体温监测功能。</w:t>
      </w:r>
    </w:p>
    <w:p w14:paraId="3A694C83">
      <w:pPr>
        <w:spacing w:line="24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4.配有≥ 1 块锂电池，为加大续航能力，后期可配置双电池。 </w:t>
      </w:r>
    </w:p>
    <w:p w14:paraId="7AE8F35E">
      <w:pPr>
        <w:spacing w:line="24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5.支持待机模式、夜间模式、演示模式、插管模式、隐私模式</w:t>
      </w:r>
    </w:p>
    <w:p w14:paraId="4791D797">
      <w:pPr>
        <w:spacing w:line="240" w:lineRule="auto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二、性能特点</w:t>
      </w:r>
    </w:p>
    <w:p w14:paraId="12B89FBF">
      <w:pPr>
        <w:spacing w:line="24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1.具有多导心电监护算法，同步分析至少 2 通道心电波形，能够良好抗干扰。</w:t>
      </w:r>
    </w:p>
    <w:p w14:paraId="7BA37E15">
      <w:pPr>
        <w:spacing w:line="24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2.可设置智能导联脱落功能，如果当前所选导联无法检测心电信号，监护仪自动切换相应的导联作为计算导联。</w:t>
      </w:r>
    </w:p>
    <w:p w14:paraId="1AB11653">
      <w:pPr>
        <w:numPr>
          <w:ilvl w:val="0"/>
          <w:numId w:val="0"/>
        </w:numPr>
        <w:spacing w:line="240" w:lineRule="auto"/>
        <w:rPr>
          <w:rFonts w:hint="eastAsia" w:eastAsia="宋体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3.支持不少于27种实时心律失常分析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 w:ascii="宋体" w:hAnsi="宋体"/>
          <w:bCs/>
          <w:color w:val="000000"/>
          <w:sz w:val="24"/>
          <w:szCs w:val="24"/>
          <w:lang w:eastAsia="zh-CN"/>
        </w:rPr>
        <w:t>提供说明书或及官方彩页</w:t>
      </w:r>
      <w:r>
        <w:rPr>
          <w:rFonts w:hint="eastAsia" w:ascii="宋体" w:hAnsi="宋体"/>
          <w:bCs/>
          <w:color w:val="000000"/>
          <w:sz w:val="24"/>
          <w:szCs w:val="24"/>
          <w:lang w:val="en-US" w:eastAsia="zh-CN"/>
        </w:rPr>
        <w:t>等证明材料</w:t>
      </w:r>
      <w:r>
        <w:rPr>
          <w:rFonts w:hint="eastAsia" w:ascii="宋体" w:hAnsi="宋体"/>
          <w:bCs/>
          <w:color w:val="000000"/>
          <w:sz w:val="24"/>
          <w:szCs w:val="24"/>
          <w:lang w:eastAsia="zh-CN"/>
        </w:rPr>
        <w:t>。</w:t>
      </w:r>
    </w:p>
    <w:p w14:paraId="162F7161">
      <w:pPr>
        <w:spacing w:line="24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4.支持显示ECG信号质量指数，指示10个不同级别的心率信号强度。</w:t>
      </w:r>
    </w:p>
    <w:p w14:paraId="0A8F65FA">
      <w:pPr>
        <w:spacing w:line="24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5.支持≥2种NIBP测量算法，最快测量时间不超过20秒。</w:t>
      </w:r>
    </w:p>
    <w:p w14:paraId="39F0266E">
      <w:pPr>
        <w:pStyle w:val="19"/>
        <w:spacing w:line="240" w:lineRule="auto"/>
        <w:ind w:left="0" w:leftChars="0" w:firstLine="0" w:firstLineChars="0"/>
        <w:rPr>
          <w:rFonts w:hint="eastAsia" w:eastAsia="宋体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6.支持连续无创血压功能，实时无创监测病人血压，而非NIBP的连续测量模式</w:t>
      </w:r>
      <w:r>
        <w:rPr>
          <w:rFonts w:hint="eastAsia"/>
          <w:sz w:val="24"/>
          <w:szCs w:val="24"/>
          <w:lang w:eastAsia="zh-CN"/>
        </w:rPr>
        <w:t>。</w:t>
      </w:r>
    </w:p>
    <w:p w14:paraId="13BE72E2">
      <w:pPr>
        <w:spacing w:line="24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7.无创血压提供手动、自动、连续、序列四种测量模式。自动模式支持自定义设置血压测量间隔，间隔时间支持从1-460分钟内的任意整数数值。</w:t>
      </w:r>
    </w:p>
    <w:p w14:paraId="3FCB1CBB">
      <w:pPr>
        <w:spacing w:line="24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8.实时监测弱灌注指数（PI），测量范围0-20%。</w:t>
      </w:r>
    </w:p>
    <w:p w14:paraId="5C11FF1A">
      <w:pPr>
        <w:spacing w:line="24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9.血氧探头光强五级别显示，可帮助临床快速判断探头光衰程度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 w:ascii="宋体" w:hAnsi="宋体"/>
          <w:bCs/>
          <w:color w:val="000000"/>
          <w:sz w:val="24"/>
          <w:szCs w:val="24"/>
          <w:lang w:eastAsia="zh-CN"/>
        </w:rPr>
        <w:t>提供说明书或及官方彩页</w:t>
      </w:r>
      <w:r>
        <w:rPr>
          <w:rFonts w:hint="eastAsia" w:ascii="宋体" w:hAnsi="宋体"/>
          <w:bCs/>
          <w:color w:val="000000"/>
          <w:sz w:val="24"/>
          <w:szCs w:val="24"/>
          <w:lang w:val="en-US" w:eastAsia="zh-CN"/>
        </w:rPr>
        <w:t>等证明材料</w:t>
      </w:r>
      <w:r>
        <w:rPr>
          <w:rFonts w:hint="eastAsia" w:ascii="宋体" w:hAnsi="宋体"/>
          <w:bCs/>
          <w:color w:val="000000"/>
          <w:sz w:val="24"/>
          <w:szCs w:val="24"/>
          <w:lang w:eastAsia="zh-CN"/>
        </w:rPr>
        <w:t>。</w:t>
      </w:r>
    </w:p>
    <w:p w14:paraId="604F535E">
      <w:pPr>
        <w:widowControl/>
        <w:jc w:val="left"/>
        <w:textAlignment w:val="center"/>
        <w:rPr>
          <w:rFonts w:hint="eastAsia"/>
          <w:sz w:val="28"/>
          <w:szCs w:val="28"/>
        </w:rPr>
      </w:pPr>
      <w:r>
        <w:rPr>
          <w:rFonts w:hint="eastAsia"/>
          <w:sz w:val="24"/>
          <w:szCs w:val="24"/>
          <w:lang w:val="en-US" w:eastAsia="zh-CN"/>
        </w:rPr>
        <w:t>10.要求与使用科室原中央监护系统兼容(原中央监护系统品牌:理邦)，方便医护工作人员科学使用统一管理。</w:t>
      </w:r>
    </w:p>
    <w:p w14:paraId="04B386D3">
      <w:pPr>
        <w:widowControl/>
        <w:jc w:val="left"/>
        <w:textAlignment w:val="center"/>
        <w:rPr>
          <w:rFonts w:hint="eastAsia"/>
          <w:sz w:val="28"/>
          <w:szCs w:val="28"/>
        </w:rPr>
      </w:pPr>
    </w:p>
    <w:p w14:paraId="4887BFF8">
      <w:pPr>
        <w:widowControl/>
        <w:jc w:val="left"/>
        <w:textAlignment w:val="center"/>
        <w:rPr>
          <w:rFonts w:hint="eastAsia"/>
          <w:sz w:val="28"/>
          <w:szCs w:val="28"/>
        </w:rPr>
      </w:pPr>
    </w:p>
    <w:p w14:paraId="24504CCE">
      <w:pPr>
        <w:rPr>
          <w:rFonts w:hint="eastAsia" w:ascii="宋体" w:hAnsi="宋体" w:cs="宋体"/>
          <w:b/>
          <w:sz w:val="28"/>
          <w:szCs w:val="28"/>
          <w:lang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设备名称：心脑血管及主动脉功能检测仪</w:t>
      </w:r>
    </w:p>
    <w:p w14:paraId="284A9D86">
      <w:pPr>
        <w:rPr>
          <w:rFonts w:hint="default" w:ascii="宋体" w:hAnsi="宋体" w:eastAsia="宋体" w:cs="宋体"/>
          <w:b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设备编号：NYZBB-SBK-20250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10</w:t>
      </w:r>
    </w:p>
    <w:p w14:paraId="7951488B">
      <w:pPr>
        <w:rPr>
          <w:rFonts w:hint="default" w:ascii="宋体" w:hAnsi="宋体" w:cs="宋体"/>
          <w:b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 xml:space="preserve">数  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 </w:t>
      </w:r>
      <w:r>
        <w:rPr>
          <w:rFonts w:hint="eastAsia" w:ascii="宋体" w:hAnsi="宋体" w:cs="宋体"/>
          <w:b/>
          <w:sz w:val="28"/>
          <w:szCs w:val="28"/>
          <w:lang w:bidi="ar"/>
        </w:rPr>
        <w:t>量：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1台</w:t>
      </w:r>
    </w:p>
    <w:p w14:paraId="5CB81084">
      <w:pPr>
        <w:jc w:val="center"/>
        <w:rPr>
          <w:rFonts w:hint="eastAsia" w:ascii="宋体" w:hAnsi="宋体" w:cs="宋体"/>
          <w:b/>
          <w:sz w:val="28"/>
          <w:szCs w:val="28"/>
          <w:lang w:eastAsia="zh-CN" w:bidi="ar"/>
        </w:rPr>
      </w:pPr>
      <w:r>
        <w:rPr>
          <w:rFonts w:hint="eastAsia" w:ascii="宋体" w:hAnsi="宋体" w:cs="宋体"/>
          <w:b/>
          <w:sz w:val="28"/>
          <w:szCs w:val="28"/>
          <w:lang w:eastAsia="zh-CN" w:bidi="ar"/>
        </w:rPr>
        <w:t>性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能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配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置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要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求</w:t>
      </w:r>
    </w:p>
    <w:p w14:paraId="6727E54B">
      <w:pPr>
        <w:jc w:val="center"/>
        <w:rPr>
          <w:rFonts w:hint="eastAsia" w:ascii="宋体" w:hAnsi="宋体" w:cs="宋体"/>
          <w:b/>
          <w:sz w:val="28"/>
          <w:szCs w:val="28"/>
          <w:lang w:eastAsia="zh-CN" w:bidi="ar"/>
        </w:rPr>
      </w:pPr>
    </w:p>
    <w:p w14:paraId="61254532">
      <w:pPr>
        <w:spacing w:line="360" w:lineRule="auto"/>
        <w:ind w:right="72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>1、</w:t>
      </w:r>
      <w:r>
        <w:rPr>
          <w:rFonts w:hint="eastAsia" w:ascii="宋体" w:hAnsi="宋体" w:eastAsia="宋体" w:cs="宋体"/>
          <w:color w:val="auto"/>
          <w:sz w:val="24"/>
        </w:rPr>
        <w:t>检测方式：采用感受器压力法</w:t>
      </w:r>
      <w:r>
        <w:rPr>
          <w:rFonts w:hint="eastAsia" w:ascii="宋体" w:hAnsi="宋体" w:eastAsia="宋体" w:cs="宋体"/>
          <w:color w:val="auto"/>
          <w:sz w:val="24"/>
          <w:lang w:eastAsia="zh-CN"/>
        </w:rPr>
        <w:t>；</w:t>
      </w:r>
      <w:r>
        <w:rPr>
          <w:rFonts w:hint="eastAsia" w:ascii="宋体" w:hAnsi="宋体" w:eastAsia="宋体" w:cs="宋体"/>
          <w:color w:val="auto"/>
          <w:sz w:val="24"/>
        </w:rPr>
        <w:t>配备动态误差监控系统软件，能够保证检测数据的重复性</w:t>
      </w:r>
      <w:r>
        <w:rPr>
          <w:rFonts w:hint="eastAsia" w:ascii="宋体" w:hAnsi="宋体" w:eastAsia="宋体" w:cs="宋体"/>
          <w:color w:val="auto"/>
          <w:sz w:val="24"/>
          <w:lang w:eastAsia="zh-CN"/>
        </w:rPr>
        <w:t>；</w:t>
      </w:r>
      <w:r>
        <w:rPr>
          <w:rFonts w:hint="eastAsia" w:ascii="宋体" w:hAnsi="宋体" w:eastAsia="宋体" w:cs="宋体"/>
          <w:color w:val="auto"/>
          <w:sz w:val="24"/>
        </w:rPr>
        <w:t>具有可自动进行动脉硬化</w:t>
      </w:r>
      <w:r>
        <w:rPr>
          <w:rFonts w:hint="eastAsia" w:ascii="宋体" w:hAnsi="宋体" w:eastAsia="宋体" w:cs="宋体"/>
          <w:color w:val="auto"/>
          <w:sz w:val="24"/>
          <w:lang w:eastAsia="zh-CN"/>
        </w:rPr>
        <w:t>和中心动脉压</w:t>
      </w:r>
      <w:r>
        <w:rPr>
          <w:rFonts w:hint="eastAsia" w:ascii="宋体" w:hAnsi="宋体" w:eastAsia="宋体" w:cs="宋体"/>
          <w:color w:val="auto"/>
          <w:sz w:val="24"/>
        </w:rPr>
        <w:t>结果分析的分析软件，检测完成后自动生成检测报告</w:t>
      </w:r>
    </w:p>
    <w:p w14:paraId="262EEF43">
      <w:pPr>
        <w:spacing w:line="360" w:lineRule="auto"/>
        <w:ind w:right="72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>2、</w:t>
      </w:r>
      <w:r>
        <w:rPr>
          <w:rFonts w:hint="eastAsia" w:ascii="宋体" w:hAnsi="宋体" w:eastAsia="宋体" w:cs="宋体"/>
          <w:color w:val="auto"/>
          <w:sz w:val="24"/>
        </w:rPr>
        <w:t>与临床科研配套功能</w:t>
      </w:r>
      <w:r>
        <w:rPr>
          <w:rFonts w:hint="eastAsia" w:ascii="宋体" w:hAnsi="宋体" w:eastAsia="宋体" w:cs="宋体"/>
          <w:color w:val="auto"/>
          <w:sz w:val="24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4"/>
        </w:rPr>
        <w:t>检索或者输出结果时，可对其进行多重分类，允许以Excel表格输出，方便临床科研后期数据统计与整理</w:t>
      </w:r>
    </w:p>
    <w:p w14:paraId="2AD3CEDB">
      <w:pPr>
        <w:spacing w:line="360" w:lineRule="auto"/>
        <w:ind w:right="72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>3、</w:t>
      </w:r>
      <w:r>
        <w:rPr>
          <w:rFonts w:hint="eastAsia" w:ascii="宋体" w:hAnsi="宋体" w:eastAsia="宋体" w:cs="宋体"/>
          <w:color w:val="auto"/>
          <w:sz w:val="24"/>
        </w:rPr>
        <w:t>中心动脉压及心脏功能检测必须通过颈动脉波形测定并且能在30秒内完成</w:t>
      </w:r>
    </w:p>
    <w:p w14:paraId="0C56FD10">
      <w:pPr>
        <w:spacing w:line="360" w:lineRule="auto"/>
        <w:ind w:right="72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4"/>
        </w:rPr>
        <w:t>、主要技术参数：</w:t>
      </w:r>
    </w:p>
    <w:p w14:paraId="710AD4DC">
      <w:pPr>
        <w:spacing w:line="360" w:lineRule="auto"/>
        <w:ind w:right="72"/>
        <w:rPr>
          <w:rFonts w:hint="eastAsia" w:ascii="宋体" w:hAnsi="宋体" w:eastAsia="宋体" w:cs="宋体"/>
          <w:color w:val="auto"/>
          <w:sz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</w:rPr>
        <w:t>主动脉脉搏波速度（cf-PWV颈股动脉）</w:t>
      </w:r>
      <w:r>
        <w:rPr>
          <w:rFonts w:hint="eastAsia" w:ascii="宋体" w:hAnsi="宋体" w:eastAsia="宋体" w:cs="宋体"/>
          <w:color w:val="auto"/>
          <w:sz w:val="24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>上肢动脉cr-pwv，</w:t>
      </w:r>
      <w:r>
        <w:rPr>
          <w:rFonts w:hint="eastAsia" w:ascii="宋体" w:hAnsi="宋体" w:eastAsia="宋体" w:cs="宋体"/>
          <w:color w:val="auto"/>
          <w:sz w:val="24"/>
        </w:rPr>
        <w:t>中心动脉收缩压cSBP</w:t>
      </w:r>
      <w:r>
        <w:rPr>
          <w:rFonts w:hint="eastAsia" w:ascii="宋体" w:hAnsi="宋体" w:eastAsia="宋体" w:cs="宋体"/>
          <w:color w:val="auto"/>
          <w:sz w:val="24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4"/>
        </w:rPr>
        <w:t>中心动脉舒张压cDBP</w:t>
      </w:r>
      <w:r>
        <w:rPr>
          <w:rFonts w:hint="eastAsia" w:ascii="宋体" w:hAnsi="宋体" w:eastAsia="宋体" w:cs="宋体"/>
          <w:color w:val="auto"/>
          <w:sz w:val="24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4"/>
        </w:rPr>
        <w:t>中心动脉脉压cPP</w:t>
      </w:r>
      <w:r>
        <w:rPr>
          <w:rFonts w:hint="eastAsia" w:ascii="宋体" w:hAnsi="宋体" w:eastAsia="宋体" w:cs="宋体"/>
          <w:color w:val="auto"/>
          <w:sz w:val="24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4"/>
        </w:rPr>
        <w:t>中心动脉增强指数(AIx) （通过颈动脉波形检测）</w:t>
      </w:r>
      <w:r>
        <w:rPr>
          <w:rFonts w:hint="eastAsia" w:ascii="宋体" w:hAnsi="宋体" w:eastAsia="宋体" w:cs="宋体"/>
          <w:color w:val="auto"/>
          <w:sz w:val="24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4"/>
        </w:rPr>
        <w:t>增强血压</w:t>
      </w: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>AP，</w:t>
      </w:r>
      <w:r>
        <w:rPr>
          <w:rFonts w:hint="eastAsia" w:ascii="宋体" w:hAnsi="宋体" w:eastAsia="宋体" w:cs="宋体"/>
          <w:color w:val="auto"/>
          <w:sz w:val="24"/>
        </w:rPr>
        <w:t>射血时间LVET</w:t>
      </w:r>
      <w:r>
        <w:rPr>
          <w:rFonts w:hint="eastAsia" w:ascii="宋体" w:hAnsi="宋体" w:eastAsia="宋体" w:cs="宋体"/>
          <w:color w:val="auto"/>
          <w:sz w:val="24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4"/>
        </w:rPr>
        <w:t>心内膜下心肌活力率（SEVR）</w:t>
      </w:r>
      <w:r>
        <w:rPr>
          <w:rFonts w:hint="eastAsia" w:ascii="宋体" w:hAnsi="宋体" w:eastAsia="宋体" w:cs="宋体"/>
          <w:color w:val="auto"/>
          <w:sz w:val="24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4"/>
        </w:rPr>
        <w:t>等容期收缩指标（Max dp/dt）</w:t>
      </w:r>
      <w:r>
        <w:rPr>
          <w:rFonts w:hint="eastAsia" w:ascii="宋体" w:hAnsi="宋体" w:eastAsia="宋体" w:cs="宋体"/>
          <w:color w:val="auto"/>
          <w:sz w:val="24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4"/>
        </w:rPr>
        <w:t>主动脉硬化情况年龄曲线</w:t>
      </w: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>等。</w:t>
      </w:r>
    </w:p>
    <w:p w14:paraId="47633DD7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 w14:paraId="417C7992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配置清单</w:t>
      </w:r>
      <w:r>
        <w:rPr>
          <w:rFonts w:hint="eastAsia" w:ascii="宋体" w:hAnsi="宋体" w:cs="宋体"/>
          <w:b/>
          <w:bCs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至少包含</w:t>
      </w:r>
      <w:r>
        <w:rPr>
          <w:rFonts w:hint="eastAsia" w:ascii="宋体" w:hAnsi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：</w:t>
      </w:r>
    </w:p>
    <w:p w14:paraId="5AEE7AA7">
      <w:pPr>
        <w:spacing w:line="240" w:lineRule="auto"/>
        <w:ind w:right="72"/>
        <w:rPr>
          <w:rFonts w:hint="eastAsia" w:ascii="宋体" w:hAnsi="宋体" w:eastAsia="宋体" w:cs="宋体"/>
          <w:color w:val="auto"/>
          <w:sz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>1、数据采集装置（主机）1台</w:t>
      </w:r>
    </w:p>
    <w:p w14:paraId="5A2BE7FB">
      <w:pPr>
        <w:spacing w:line="240" w:lineRule="auto"/>
        <w:ind w:right="72"/>
        <w:rPr>
          <w:rFonts w:hint="eastAsia" w:ascii="宋体" w:hAnsi="宋体" w:eastAsia="宋体" w:cs="宋体"/>
          <w:color w:val="auto"/>
          <w:sz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>2、</w:t>
      </w:r>
      <w:r>
        <w:rPr>
          <w:rFonts w:hint="eastAsia" w:ascii="宋体" w:hAnsi="宋体" w:eastAsia="宋体" w:cs="宋体"/>
          <w:color w:val="auto"/>
          <w:sz w:val="24"/>
        </w:rPr>
        <w:t>直径15mm（颈动脉）</w:t>
      </w: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>压力传感器1个</w:t>
      </w:r>
    </w:p>
    <w:p w14:paraId="2F69D661">
      <w:pPr>
        <w:spacing w:line="240" w:lineRule="auto"/>
        <w:ind w:right="72"/>
        <w:rPr>
          <w:rFonts w:hint="eastAsia" w:ascii="宋体" w:hAnsi="宋体" w:eastAsia="宋体" w:cs="宋体"/>
          <w:color w:val="auto"/>
          <w:sz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>3、</w:t>
      </w:r>
      <w:r>
        <w:rPr>
          <w:rFonts w:hint="eastAsia" w:ascii="宋体" w:hAnsi="宋体" w:eastAsia="宋体" w:cs="宋体"/>
          <w:color w:val="auto"/>
          <w:sz w:val="24"/>
        </w:rPr>
        <w:t>直径15mm（股动脉）</w:t>
      </w: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>压力传感器1个</w:t>
      </w:r>
    </w:p>
    <w:p w14:paraId="5599FF9E">
      <w:pPr>
        <w:spacing w:line="240" w:lineRule="auto"/>
        <w:ind w:right="72"/>
        <w:rPr>
          <w:rFonts w:hint="eastAsia" w:ascii="宋体" w:hAnsi="宋体" w:eastAsia="宋体" w:cs="宋体"/>
          <w:color w:val="auto"/>
          <w:sz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>4、</w:t>
      </w:r>
      <w:r>
        <w:rPr>
          <w:rFonts w:hint="eastAsia" w:ascii="宋体" w:hAnsi="宋体" w:eastAsia="宋体" w:cs="宋体"/>
          <w:color w:val="auto"/>
          <w:sz w:val="24"/>
        </w:rPr>
        <w:t>直径15mm（</w:t>
      </w: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>桡</w:t>
      </w:r>
      <w:r>
        <w:rPr>
          <w:rFonts w:hint="eastAsia" w:ascii="宋体" w:hAnsi="宋体" w:eastAsia="宋体" w:cs="宋体"/>
          <w:color w:val="auto"/>
          <w:sz w:val="24"/>
        </w:rPr>
        <w:t>动脉）</w:t>
      </w: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>压力传感器1个</w:t>
      </w:r>
    </w:p>
    <w:p w14:paraId="30F385F4">
      <w:pPr>
        <w:spacing w:line="240" w:lineRule="auto"/>
        <w:ind w:right="72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>5、</w:t>
      </w:r>
      <w:r>
        <w:rPr>
          <w:rFonts w:hint="eastAsia" w:ascii="宋体" w:hAnsi="宋体" w:eastAsia="宋体" w:cs="宋体"/>
          <w:color w:val="auto"/>
          <w:sz w:val="24"/>
        </w:rPr>
        <w:t>颈动脉</w:t>
      </w: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>压力传感器</w:t>
      </w:r>
      <w:r>
        <w:rPr>
          <w:rFonts w:hint="eastAsia" w:ascii="宋体" w:hAnsi="宋体" w:eastAsia="宋体" w:cs="宋体"/>
          <w:color w:val="auto"/>
          <w:sz w:val="24"/>
        </w:rPr>
        <w:t>支持装置</w:t>
      </w: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>1个</w:t>
      </w:r>
    </w:p>
    <w:p w14:paraId="3DAB704E">
      <w:pPr>
        <w:spacing w:line="240" w:lineRule="auto"/>
        <w:ind w:right="72"/>
        <w:rPr>
          <w:rFonts w:hint="eastAsia" w:ascii="宋体" w:hAnsi="宋体" w:eastAsia="宋体" w:cs="宋体"/>
          <w:color w:val="auto"/>
          <w:sz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>6、桡动脉压力传感器</w:t>
      </w:r>
      <w:r>
        <w:rPr>
          <w:rFonts w:hint="eastAsia" w:ascii="宋体" w:hAnsi="宋体" w:eastAsia="宋体" w:cs="宋体"/>
          <w:color w:val="auto"/>
          <w:sz w:val="24"/>
        </w:rPr>
        <w:t>支持装置</w:t>
      </w: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>1个</w:t>
      </w:r>
    </w:p>
    <w:p w14:paraId="37DCB393">
      <w:pPr>
        <w:spacing w:line="240" w:lineRule="auto"/>
        <w:ind w:right="72"/>
        <w:rPr>
          <w:rFonts w:hint="eastAsia" w:ascii="宋体" w:hAnsi="宋体" w:eastAsia="宋体" w:cs="宋体"/>
          <w:color w:val="auto"/>
          <w:sz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>7、设备程序软件1套</w:t>
      </w:r>
    </w:p>
    <w:p w14:paraId="19E64954">
      <w:pPr>
        <w:spacing w:line="240" w:lineRule="auto"/>
        <w:ind w:right="72"/>
        <w:rPr>
          <w:rFonts w:hint="eastAsia" w:ascii="宋体" w:hAnsi="宋体" w:eastAsia="宋体" w:cs="宋体"/>
          <w:color w:val="auto"/>
          <w:sz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>8、操作手册1本</w:t>
      </w:r>
    </w:p>
    <w:p w14:paraId="4A2441F8">
      <w:pPr>
        <w:spacing w:line="240" w:lineRule="auto"/>
        <w:ind w:right="72"/>
        <w:rPr>
          <w:rFonts w:hint="eastAsia" w:ascii="宋体" w:hAnsi="宋体" w:eastAsia="宋体" w:cs="宋体"/>
          <w:color w:val="auto"/>
          <w:sz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>9、≥21寸显示器1台</w:t>
      </w:r>
    </w:p>
    <w:p w14:paraId="6E1DB78E">
      <w:pPr>
        <w:spacing w:line="240" w:lineRule="auto"/>
        <w:ind w:right="72"/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>10、打印机1台</w:t>
      </w:r>
    </w:p>
    <w:p w14:paraId="0C432ABA">
      <w:pPr>
        <w:spacing w:line="360" w:lineRule="auto"/>
        <w:rPr>
          <w:rFonts w:hint="eastAsia" w:ascii="宋体" w:hAnsi="宋体" w:eastAsia="宋体" w:cs="宋体"/>
          <w:spacing w:val="-3"/>
          <w:sz w:val="24"/>
          <w:szCs w:val="24"/>
          <w:highlight w:val="none"/>
          <w:lang w:val="en-US" w:eastAsia="zh-CN" w:bidi="zh-CN"/>
        </w:rPr>
      </w:pPr>
    </w:p>
    <w:p w14:paraId="3F74B3AE">
      <w:pPr>
        <w:widowControl/>
        <w:jc w:val="left"/>
        <w:textAlignment w:val="center"/>
        <w:rPr>
          <w:rFonts w:hint="default"/>
          <w:sz w:val="28"/>
          <w:szCs w:val="28"/>
          <w:rtl w:val="0"/>
          <w:lang w:val="en-US" w:eastAsia="zh-CN"/>
        </w:rPr>
      </w:pPr>
    </w:p>
    <w:p w14:paraId="4DCEE58C">
      <w:pPr>
        <w:widowControl/>
        <w:jc w:val="left"/>
        <w:textAlignment w:val="center"/>
        <w:rPr>
          <w:rFonts w:hint="default"/>
          <w:sz w:val="28"/>
          <w:szCs w:val="28"/>
          <w:rtl w:val="0"/>
          <w:lang w:val="en-US" w:eastAsia="zh-CN"/>
        </w:rPr>
      </w:pPr>
      <w:bookmarkStart w:id="0" w:name="_GoBack"/>
      <w:bookmarkEnd w:id="0"/>
    </w:p>
    <w:p w14:paraId="1652BC33">
      <w:pPr>
        <w:rPr>
          <w:rFonts w:hint="eastAsia" w:ascii="宋体" w:hAnsi="宋体" w:cs="宋体"/>
          <w:b/>
          <w:sz w:val="28"/>
          <w:szCs w:val="28"/>
          <w:lang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设备名称：超声经颅多普勒血流分析仪</w:t>
      </w:r>
    </w:p>
    <w:p w14:paraId="0FF70AD9">
      <w:pPr>
        <w:rPr>
          <w:rFonts w:hint="default" w:ascii="宋体" w:hAnsi="宋体" w:eastAsia="宋体" w:cs="宋体"/>
          <w:b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设备编号：NYZBB-SBK-20250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11</w:t>
      </w:r>
    </w:p>
    <w:p w14:paraId="50EA6D82">
      <w:pPr>
        <w:rPr>
          <w:rFonts w:hint="default" w:ascii="宋体" w:hAnsi="宋体" w:cs="宋体"/>
          <w:b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 xml:space="preserve">数  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 </w:t>
      </w:r>
      <w:r>
        <w:rPr>
          <w:rFonts w:hint="eastAsia" w:ascii="宋体" w:hAnsi="宋体" w:cs="宋体"/>
          <w:b/>
          <w:sz w:val="28"/>
          <w:szCs w:val="28"/>
          <w:lang w:bidi="ar"/>
        </w:rPr>
        <w:t>量：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1台</w:t>
      </w:r>
    </w:p>
    <w:p w14:paraId="0697A9BA">
      <w:pPr>
        <w:jc w:val="center"/>
        <w:rPr>
          <w:rFonts w:hint="eastAsia" w:ascii="宋体" w:hAnsi="宋体" w:cs="宋体"/>
          <w:b/>
          <w:sz w:val="28"/>
          <w:szCs w:val="28"/>
          <w:lang w:eastAsia="zh-CN" w:bidi="ar"/>
        </w:rPr>
      </w:pPr>
      <w:r>
        <w:rPr>
          <w:rFonts w:hint="eastAsia" w:ascii="宋体" w:hAnsi="宋体" w:cs="宋体"/>
          <w:b/>
          <w:sz w:val="28"/>
          <w:szCs w:val="28"/>
          <w:lang w:eastAsia="zh-CN" w:bidi="ar"/>
        </w:rPr>
        <w:t>性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能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配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置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要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求</w:t>
      </w:r>
    </w:p>
    <w:p w14:paraId="01AE8B1D">
      <w:pPr>
        <w:jc w:val="center"/>
        <w:rPr>
          <w:rFonts w:hint="eastAsia" w:ascii="宋体" w:hAnsi="宋体" w:cs="宋体"/>
          <w:b/>
          <w:sz w:val="28"/>
          <w:szCs w:val="28"/>
          <w:lang w:eastAsia="zh-CN" w:bidi="ar"/>
        </w:rPr>
      </w:pPr>
    </w:p>
    <w:p w14:paraId="4FF05955">
      <w:pPr>
        <w:spacing w:line="380" w:lineRule="exact"/>
        <w:jc w:val="left"/>
        <w:rPr>
          <w:rFonts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/>
          <w:b/>
          <w:color w:val="auto"/>
          <w:sz w:val="24"/>
          <w:highlight w:val="none"/>
        </w:rPr>
        <w:t>1、主要技术规格及系统参数</w:t>
      </w:r>
    </w:p>
    <w:p w14:paraId="39B0EAB4">
      <w:pPr>
        <w:spacing w:line="400" w:lineRule="exact"/>
        <w:ind w:right="72"/>
        <w:rPr>
          <w:rFonts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1.1、频谱分辨率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至少包括</w:t>
      </w:r>
      <w:r>
        <w:rPr>
          <w:rFonts w:hint="eastAsia" w:ascii="宋体" w:hAnsi="宋体" w:cs="宋体"/>
          <w:color w:val="auto"/>
          <w:sz w:val="24"/>
          <w:highlight w:val="none"/>
        </w:rPr>
        <w:t>：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64点、</w:t>
      </w:r>
      <w:r>
        <w:rPr>
          <w:rFonts w:hint="eastAsia" w:ascii="宋体" w:hAnsi="宋体" w:cs="宋体"/>
          <w:color w:val="auto"/>
          <w:sz w:val="24"/>
          <w:highlight w:val="none"/>
        </w:rPr>
        <w:t>128点、256点、512点、1024点、2048点；</w:t>
      </w:r>
    </w:p>
    <w:p w14:paraId="67DF3EC9">
      <w:pPr>
        <w:spacing w:line="400" w:lineRule="exact"/>
        <w:ind w:right="72"/>
        <w:rPr>
          <w:rFonts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1.2、取样容积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≥</w:t>
      </w:r>
      <w:r>
        <w:rPr>
          <w:rFonts w:hint="eastAsia" w:ascii="宋体" w:hAnsi="宋体" w:cs="宋体"/>
          <w:color w:val="auto"/>
          <w:sz w:val="24"/>
          <w:highlight w:val="none"/>
        </w:rPr>
        <w:t>1-20 mm连续可调；</w:t>
      </w:r>
    </w:p>
    <w:p w14:paraId="5098A952">
      <w:pPr>
        <w:spacing w:line="400" w:lineRule="exact"/>
        <w:ind w:right="72"/>
        <w:rPr>
          <w:rFonts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1.3、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至少能</w:t>
      </w:r>
      <w:r>
        <w:rPr>
          <w:rFonts w:hint="eastAsia" w:ascii="宋体" w:hAnsi="宋体" w:cs="宋体"/>
          <w:color w:val="auto"/>
          <w:sz w:val="24"/>
          <w:highlight w:val="none"/>
        </w:rPr>
        <w:t>检测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以下</w:t>
      </w:r>
      <w:r>
        <w:rPr>
          <w:rFonts w:hint="eastAsia" w:ascii="宋体" w:hAnsi="宋体" w:cs="宋体"/>
          <w:color w:val="auto"/>
          <w:sz w:val="24"/>
          <w:highlight w:val="none"/>
        </w:rPr>
        <w:t>参数：Vs、Vm、Vd、PI、RI、S/D、HR、a、频宽指数（SBI）、狭窄指数（STI）、短暂高强度信号（HITS）、热指数（TI）；</w:t>
      </w:r>
    </w:p>
    <w:p w14:paraId="4569E5AE">
      <w:pPr>
        <w:spacing w:line="400" w:lineRule="exact"/>
        <w:ind w:right="72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1.4流速测量范围：1.6MHz探头</w:t>
      </w:r>
      <w:r>
        <w:rPr>
          <w:rFonts w:hint="eastAsia" w:ascii="宋体" w:hAnsi="宋体" w:cs="宋体"/>
          <w:color w:val="auto"/>
          <w:sz w:val="24"/>
          <w:highlight w:val="none"/>
          <w:lang w:val="zh-CN"/>
        </w:rPr>
        <w:t>在</w:t>
      </w:r>
      <w:r>
        <w:rPr>
          <w:rFonts w:hint="eastAsia" w:ascii="宋体" w:hAnsi="宋体" w:cs="宋体"/>
          <w:color w:val="auto"/>
          <w:sz w:val="24"/>
          <w:highlight w:val="none"/>
        </w:rPr>
        <w:t>50mm</w:t>
      </w:r>
      <w:r>
        <w:rPr>
          <w:rFonts w:hint="eastAsia" w:ascii="宋体" w:hAnsi="宋体" w:cs="宋体"/>
          <w:color w:val="auto"/>
          <w:sz w:val="24"/>
          <w:highlight w:val="none"/>
          <w:lang w:val="zh-CN"/>
        </w:rPr>
        <w:t>深度时最大</w:t>
      </w:r>
      <w:r>
        <w:rPr>
          <w:rFonts w:hint="eastAsia" w:ascii="宋体" w:hAnsi="宋体" w:cs="宋体"/>
          <w:color w:val="auto"/>
          <w:sz w:val="24"/>
          <w:highlight w:val="none"/>
        </w:rPr>
        <w:t>流速测量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≧</w:t>
      </w:r>
      <w:r>
        <w:rPr>
          <w:rFonts w:hint="eastAsia" w:ascii="宋体" w:hAnsi="宋体" w:cs="宋体"/>
          <w:color w:val="auto"/>
          <w:sz w:val="24"/>
          <w:highlight w:val="none"/>
        </w:rPr>
        <w:t>760cm/s；</w:t>
      </w:r>
    </w:p>
    <w:p w14:paraId="58CE5450">
      <w:pPr>
        <w:spacing w:line="400" w:lineRule="exact"/>
        <w:ind w:right="72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1.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5</w:t>
      </w:r>
      <w:r>
        <w:rPr>
          <w:rFonts w:hint="eastAsia" w:ascii="宋体" w:hAnsi="宋体" w:cs="宋体"/>
          <w:color w:val="auto"/>
          <w:sz w:val="24"/>
          <w:highlight w:val="none"/>
        </w:rPr>
        <w:t>、增益范围：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至少</w:t>
      </w:r>
      <w:r>
        <w:rPr>
          <w:rFonts w:hint="eastAsia" w:ascii="宋体" w:hAnsi="宋体" w:cs="宋体"/>
          <w:color w:val="auto"/>
          <w:sz w:val="24"/>
          <w:highlight w:val="none"/>
        </w:rPr>
        <w:t>1～60dB可调；</w:t>
      </w:r>
    </w:p>
    <w:p w14:paraId="2F7DB5B7">
      <w:pPr>
        <w:spacing w:line="400" w:lineRule="exact"/>
        <w:ind w:right="72"/>
        <w:rPr>
          <w:rFonts w:ascii="宋体" w:hAnsi="宋体" w:cs="宋体"/>
          <w:bCs/>
          <w:color w:val="auto"/>
          <w:sz w:val="24"/>
          <w:highlight w:val="none"/>
        </w:rPr>
      </w:pPr>
      <w:r>
        <w:rPr>
          <w:rFonts w:hint="eastAsia" w:ascii="宋体" w:hAnsi="宋体" w:cs="宋体"/>
          <w:bCs/>
          <w:color w:val="auto"/>
          <w:sz w:val="24"/>
          <w:highlight w:val="none"/>
        </w:rPr>
        <w:t>1.</w:t>
      </w:r>
      <w:r>
        <w:rPr>
          <w:rFonts w:hint="eastAsia" w:ascii="宋体" w:hAnsi="宋体" w:cs="宋体"/>
          <w:bCs/>
          <w:color w:val="auto"/>
          <w:sz w:val="24"/>
          <w:highlight w:val="none"/>
          <w:lang w:val="en-US" w:eastAsia="zh-CN"/>
        </w:rPr>
        <w:t>6</w:t>
      </w:r>
      <w:r>
        <w:rPr>
          <w:rFonts w:hint="eastAsia" w:ascii="宋体" w:hAnsi="宋体" w:cs="宋体"/>
          <w:bCs/>
          <w:color w:val="auto"/>
          <w:sz w:val="24"/>
          <w:highlight w:val="none"/>
        </w:rPr>
        <w:t>、主机内置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≧</w:t>
      </w:r>
      <w:r>
        <w:rPr>
          <w:rFonts w:hint="eastAsia" w:ascii="宋体" w:hAnsi="宋体" w:cs="宋体"/>
          <w:bCs/>
          <w:color w:val="auto"/>
          <w:sz w:val="24"/>
          <w:highlight w:val="none"/>
        </w:rPr>
        <w:t>15</w:t>
      </w:r>
      <w:r>
        <w:rPr>
          <w:rFonts w:hint="eastAsia" w:ascii="宋体" w:hAnsi="宋体" w:cs="宋体"/>
          <w:bCs/>
          <w:color w:val="auto"/>
          <w:sz w:val="24"/>
          <w:highlight w:val="none"/>
          <w:lang w:val="en-US" w:eastAsia="zh-CN"/>
        </w:rPr>
        <w:t>英</w:t>
      </w:r>
      <w:r>
        <w:rPr>
          <w:rFonts w:hint="eastAsia" w:ascii="宋体" w:hAnsi="宋体" w:cs="宋体"/>
          <w:bCs/>
          <w:color w:val="auto"/>
          <w:sz w:val="24"/>
          <w:highlight w:val="none"/>
        </w:rPr>
        <w:t>寸触摸屏显示器；</w:t>
      </w:r>
    </w:p>
    <w:p w14:paraId="0C4BAB1F">
      <w:pPr>
        <w:spacing w:line="400" w:lineRule="exact"/>
        <w:ind w:right="72"/>
        <w:rPr>
          <w:rFonts w:ascii="宋体" w:hAnsi="宋体" w:cs="宋体"/>
          <w:bCs/>
          <w:color w:val="auto"/>
          <w:sz w:val="24"/>
          <w:highlight w:val="none"/>
        </w:rPr>
      </w:pPr>
      <w:r>
        <w:rPr>
          <w:rFonts w:hint="eastAsia" w:ascii="宋体" w:hAnsi="宋体" w:cs="宋体"/>
          <w:bCs/>
          <w:color w:val="auto"/>
          <w:sz w:val="24"/>
          <w:highlight w:val="none"/>
        </w:rPr>
        <w:t>1.</w:t>
      </w:r>
      <w:r>
        <w:rPr>
          <w:rFonts w:hint="eastAsia" w:ascii="宋体" w:hAnsi="宋体" w:cs="宋体"/>
          <w:bCs/>
          <w:color w:val="auto"/>
          <w:sz w:val="24"/>
          <w:highlight w:val="none"/>
          <w:lang w:val="en-US" w:eastAsia="zh-CN"/>
        </w:rPr>
        <w:t>7</w:t>
      </w:r>
      <w:r>
        <w:rPr>
          <w:rFonts w:hint="eastAsia" w:ascii="宋体" w:hAnsi="宋体" w:cs="宋体"/>
          <w:bCs/>
          <w:color w:val="auto"/>
          <w:sz w:val="24"/>
          <w:highlight w:val="none"/>
        </w:rPr>
        <w:t>、电池：</w:t>
      </w:r>
      <w:r>
        <w:rPr>
          <w:rFonts w:hint="eastAsia" w:ascii="宋体" w:hAnsi="宋体" w:cs="宋体"/>
          <w:bCs/>
          <w:color w:val="auto"/>
          <w:sz w:val="24"/>
          <w:highlight w:val="none"/>
          <w:lang w:val="en-US" w:eastAsia="zh-CN"/>
        </w:rPr>
        <w:t>主机内置大容量电池，方便断电及外出检查。</w:t>
      </w:r>
      <w:r>
        <w:rPr>
          <w:rFonts w:hint="eastAsia" w:ascii="宋体" w:hAnsi="宋体" w:cs="宋体"/>
          <w:bCs/>
          <w:color w:val="auto"/>
          <w:sz w:val="24"/>
          <w:highlight w:val="none"/>
        </w:rPr>
        <w:t xml:space="preserve"> </w:t>
      </w:r>
    </w:p>
    <w:p w14:paraId="5BBE48FA">
      <w:pPr>
        <w:spacing w:line="380" w:lineRule="exact"/>
        <w:jc w:val="left"/>
        <w:rPr>
          <w:rFonts w:ascii="宋体" w:hAnsi="宋体"/>
          <w:b/>
          <w:color w:val="auto"/>
          <w:sz w:val="24"/>
          <w:highlight w:val="none"/>
        </w:rPr>
      </w:pPr>
      <w:r>
        <w:rPr>
          <w:rFonts w:hint="eastAsia" w:ascii="宋体" w:hAnsi="宋体"/>
          <w:b/>
          <w:color w:val="auto"/>
          <w:sz w:val="24"/>
          <w:highlight w:val="none"/>
        </w:rPr>
        <w:t>2 、软件功能</w:t>
      </w:r>
    </w:p>
    <w:p w14:paraId="05D479B6">
      <w:pPr>
        <w:spacing w:line="400" w:lineRule="exact"/>
        <w:ind w:right="72"/>
        <w:rPr>
          <w:rFonts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2.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1</w:t>
      </w:r>
      <w:r>
        <w:rPr>
          <w:rFonts w:hint="eastAsia" w:ascii="宋体" w:hAnsi="宋体" w:cs="宋体"/>
          <w:color w:val="auto"/>
          <w:sz w:val="24"/>
          <w:highlight w:val="none"/>
        </w:rPr>
        <w:t>、同时工作通道数：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至少</w:t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支持单通道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、双</w:t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通道</w:t>
      </w:r>
      <w:r>
        <w:rPr>
          <w:rFonts w:hint="eastAsia"/>
          <w:color w:val="auto"/>
          <w:highlight w:val="none"/>
        </w:rPr>
        <w:t>；</w:t>
      </w:r>
    </w:p>
    <w:p w14:paraId="159BBA99">
      <w:pPr>
        <w:spacing w:line="400" w:lineRule="exact"/>
        <w:ind w:right="72"/>
        <w:rPr>
          <w:rFonts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2.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2</w:t>
      </w:r>
      <w:r>
        <w:rPr>
          <w:rFonts w:hint="eastAsia" w:ascii="宋体" w:hAnsi="宋体" w:cs="宋体"/>
          <w:color w:val="auto"/>
          <w:sz w:val="24"/>
          <w:highlight w:val="none"/>
        </w:rPr>
        <w:t>、常规检测模式下， 单个探头能够支持同步显示的多普勒频谱图≥9个，同时多深度间隔可设置，各频谱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既</w:t>
      </w:r>
      <w:r>
        <w:rPr>
          <w:rFonts w:hint="eastAsia" w:ascii="宋体" w:hAnsi="宋体" w:cs="宋体"/>
          <w:color w:val="auto"/>
          <w:sz w:val="24"/>
          <w:highlight w:val="none"/>
        </w:rPr>
        <w:t>可单独调节深度</w:t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又</w:t>
      </w:r>
      <w:r>
        <w:rPr>
          <w:rFonts w:hint="eastAsia" w:ascii="宋体" w:hAnsi="宋体" w:cs="宋体"/>
          <w:color w:val="auto"/>
          <w:sz w:val="24"/>
          <w:highlight w:val="none"/>
        </w:rPr>
        <w:t>可联动调节深度；</w:t>
      </w:r>
    </w:p>
    <w:p w14:paraId="72F73524">
      <w:pPr>
        <w:spacing w:line="400" w:lineRule="exact"/>
        <w:rPr>
          <w:rFonts w:ascii="宋体" w:hAnsi="宋体" w:eastAsia="宋体" w:cs="宋体"/>
          <w:color w:val="auto"/>
          <w:sz w:val="24"/>
          <w:highlight w:val="none"/>
        </w:rPr>
      </w:pPr>
      <w:r>
        <w:rPr>
          <w:rFonts w:ascii="宋体" w:hAnsi="宋体" w:cs="宋体"/>
          <w:color w:val="auto"/>
          <w:sz w:val="24"/>
          <w:highlight w:val="none"/>
        </w:rPr>
        <w:t>2.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3</w:t>
      </w:r>
      <w:r>
        <w:rPr>
          <w:rFonts w:hint="eastAsia" w:ascii="宋体" w:hAnsi="宋体" w:cs="宋体"/>
          <w:color w:val="auto"/>
          <w:sz w:val="24"/>
          <w:highlight w:val="none"/>
        </w:rPr>
        <w:t>、多深度动态</w:t>
      </w:r>
      <w:r>
        <w:rPr>
          <w:rFonts w:ascii="宋体" w:hAnsi="宋体" w:cs="宋体"/>
          <w:color w:val="auto"/>
          <w:sz w:val="24"/>
          <w:highlight w:val="none"/>
        </w:rPr>
        <w:t>M</w:t>
      </w:r>
      <w:r>
        <w:rPr>
          <w:rFonts w:hint="eastAsia" w:ascii="宋体" w:hAnsi="宋体" w:cs="宋体"/>
          <w:color w:val="auto"/>
          <w:sz w:val="24"/>
          <w:highlight w:val="none"/>
        </w:rPr>
        <w:t>波功能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至少包括</w:t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：</w:t>
      </w:r>
      <w:r>
        <w:rPr>
          <w:rFonts w:hint="eastAsia" w:ascii="宋体" w:hAnsi="宋体" w:cs="宋体"/>
          <w:color w:val="auto"/>
          <w:sz w:val="24"/>
          <w:highlight w:val="none"/>
        </w:rPr>
        <w:t>可视取样容积宽度、深度，全深度内血流的流向、强度、深度信息同时显示；</w:t>
      </w:r>
    </w:p>
    <w:p w14:paraId="01344B67">
      <w:pPr>
        <w:spacing w:line="400" w:lineRule="exact"/>
        <w:ind w:right="72"/>
        <w:rPr>
          <w:rFonts w:ascii="宋体" w:hAnsi="宋体" w:eastAsia="宋体" w:cs="宋体"/>
          <w:bCs/>
          <w:color w:val="auto"/>
          <w:sz w:val="24"/>
          <w:highlight w:val="none"/>
        </w:rPr>
      </w:pPr>
      <w:r>
        <w:rPr>
          <w:rFonts w:ascii="宋体" w:hAnsi="宋体" w:cs="宋体"/>
          <w:bCs/>
          <w:color w:val="auto"/>
          <w:sz w:val="24"/>
          <w:highlight w:val="none"/>
        </w:rPr>
        <w:t>2.</w:t>
      </w:r>
      <w:r>
        <w:rPr>
          <w:rFonts w:hint="eastAsia" w:ascii="宋体" w:hAnsi="宋体" w:cs="宋体"/>
          <w:bCs/>
          <w:color w:val="auto"/>
          <w:sz w:val="24"/>
          <w:highlight w:val="none"/>
          <w:lang w:val="en-US" w:eastAsia="zh-CN"/>
        </w:rPr>
        <w:t>4</w:t>
      </w:r>
      <w:r>
        <w:rPr>
          <w:rFonts w:hint="eastAsia" w:ascii="宋体" w:hAnsi="宋体" w:cs="宋体"/>
          <w:bCs/>
          <w:color w:val="auto"/>
          <w:sz w:val="24"/>
          <w:highlight w:val="none"/>
        </w:rPr>
        <w:t>、异常血流提醒</w:t>
      </w:r>
      <w:r>
        <w:rPr>
          <w:rFonts w:ascii="宋体" w:hAnsi="宋体" w:cs="宋体"/>
          <w:bCs/>
          <w:color w:val="auto"/>
          <w:sz w:val="24"/>
          <w:highlight w:val="none"/>
        </w:rPr>
        <w:t>功能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至少有</w:t>
      </w:r>
      <w:r>
        <w:rPr>
          <w:rFonts w:hint="eastAsia" w:ascii="宋体" w:hAnsi="宋体" w:cs="宋体"/>
          <w:bCs/>
          <w:color w:val="auto"/>
          <w:sz w:val="24"/>
          <w:highlight w:val="none"/>
          <w:lang w:eastAsia="zh-CN"/>
        </w:rPr>
        <w:t>：颜色提醒、闪烁提醒、</w:t>
      </w:r>
      <w:r>
        <w:rPr>
          <w:rFonts w:hint="eastAsia" w:ascii="宋体" w:hAnsi="宋体" w:cs="宋体"/>
          <w:bCs/>
          <w:color w:val="auto"/>
          <w:sz w:val="24"/>
          <w:highlight w:val="none"/>
        </w:rPr>
        <w:t>语音播报</w:t>
      </w:r>
      <w:r>
        <w:rPr>
          <w:rFonts w:hint="eastAsia" w:ascii="宋体" w:hAnsi="宋体" w:cs="宋体"/>
          <w:bCs/>
          <w:color w:val="auto"/>
          <w:sz w:val="24"/>
          <w:highlight w:val="none"/>
          <w:lang w:eastAsia="zh-CN"/>
        </w:rPr>
        <w:t>提醒</w:t>
      </w:r>
      <w:r>
        <w:rPr>
          <w:rFonts w:hint="eastAsia" w:ascii="宋体" w:hAnsi="宋体" w:cs="宋体"/>
          <w:bCs/>
          <w:color w:val="auto"/>
          <w:sz w:val="24"/>
          <w:highlight w:val="none"/>
        </w:rPr>
        <w:t>；</w:t>
      </w:r>
    </w:p>
    <w:p w14:paraId="47F3985C">
      <w:pPr>
        <w:spacing w:line="400" w:lineRule="exact"/>
        <w:ind w:right="72"/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2.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5</w:t>
      </w:r>
      <w:r>
        <w:rPr>
          <w:rFonts w:hint="eastAsia" w:ascii="宋体" w:hAnsi="宋体" w:cs="宋体"/>
          <w:color w:val="auto"/>
          <w:sz w:val="24"/>
          <w:highlight w:val="none"/>
        </w:rPr>
        <w:t>、具备辅助规范化检测动脉功能，图像化显示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≧</w:t>
      </w:r>
      <w:r>
        <w:rPr>
          <w:rFonts w:hint="eastAsia" w:ascii="宋体" w:hAnsi="宋体" w:cs="宋体"/>
          <w:color w:val="auto"/>
          <w:sz w:val="24"/>
          <w:highlight w:val="none"/>
        </w:rPr>
        <w:t>41支血管的多维度参考依据（解剖位置、深度范围、探头角度等）；</w:t>
      </w:r>
    </w:p>
    <w:p w14:paraId="4C4C6714">
      <w:pPr>
        <w:spacing w:line="400" w:lineRule="exact"/>
        <w:ind w:right="72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2.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6</w:t>
      </w:r>
      <w:r>
        <w:rPr>
          <w:rFonts w:hint="eastAsia" w:ascii="宋体" w:hAnsi="宋体" w:cs="宋体"/>
          <w:color w:val="auto"/>
          <w:sz w:val="24"/>
          <w:highlight w:val="none"/>
        </w:rPr>
        <w:t>、具备侧支循环辅助引导模式，实时辅助引导的侧支循环通路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≧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25</w:t>
      </w:r>
      <w:r>
        <w:rPr>
          <w:rFonts w:hint="eastAsia" w:ascii="宋体" w:hAnsi="宋体" w:cs="宋体"/>
          <w:color w:val="auto"/>
          <w:sz w:val="24"/>
          <w:highlight w:val="none"/>
        </w:rPr>
        <w:t>条，图像化、文字化引导流程、路径，提高评估效率及准确性；</w:t>
      </w:r>
    </w:p>
    <w:p w14:paraId="68C1A2DC">
      <w:pPr>
        <w:spacing w:line="400" w:lineRule="exact"/>
        <w:ind w:right="72"/>
        <w:rPr>
          <w:rFonts w:hint="default" w:ascii="宋体" w:hAnsi="宋体" w:cs="宋体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2.7、教学培训：软件内置专家教学视频，内容涵盖常规检测及脑循环监测；</w:t>
      </w:r>
    </w:p>
    <w:p w14:paraId="48757ECD">
      <w:pPr>
        <w:spacing w:line="400" w:lineRule="exact"/>
        <w:ind w:right="72"/>
        <w:rPr>
          <w:rFonts w:hint="eastAsia" w:ascii="宋体" w:hAnsi="宋体" w:cs="宋体"/>
          <w:color w:val="auto"/>
          <w:sz w:val="24"/>
          <w:highlight w:val="none"/>
          <w:lang w:eastAsia="zh-CN"/>
        </w:rPr>
      </w:pP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2.8、自动优化：深度、标尺、增益、基线、降噪一键无线遥控控制，快速</w:t>
      </w:r>
      <w:r>
        <w:rPr>
          <w:rFonts w:hint="default" w:ascii="宋体" w:hAnsi="宋体" w:cs="宋体"/>
          <w:color w:val="auto"/>
          <w:sz w:val="24"/>
          <w:highlight w:val="none"/>
          <w:lang w:val="en-US" w:eastAsia="zh-CN"/>
        </w:rPr>
        <w:t>获得理想频谱</w:t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；</w:t>
      </w:r>
    </w:p>
    <w:p w14:paraId="040B3E5D">
      <w:pPr>
        <w:spacing w:line="400" w:lineRule="exact"/>
        <w:ind w:right="72"/>
        <w:rPr>
          <w:rFonts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2.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9</w:t>
      </w:r>
      <w:r>
        <w:rPr>
          <w:rFonts w:hint="eastAsia" w:ascii="宋体" w:hAnsi="宋体" w:cs="宋体"/>
          <w:color w:val="auto"/>
          <w:sz w:val="24"/>
          <w:highlight w:val="none"/>
        </w:rPr>
        <w:t>、数据管理：数据导入及导出、数据</w:t>
      </w:r>
      <w:r>
        <w:rPr>
          <w:rFonts w:ascii="宋体" w:hAnsi="宋体" w:cs="宋体"/>
          <w:color w:val="auto"/>
          <w:sz w:val="24"/>
          <w:highlight w:val="none"/>
        </w:rPr>
        <w:t>检索</w:t>
      </w:r>
      <w:r>
        <w:rPr>
          <w:rFonts w:hint="eastAsia" w:ascii="宋体" w:hAnsi="宋体" w:cs="宋体"/>
          <w:color w:val="auto"/>
          <w:sz w:val="24"/>
          <w:highlight w:val="none"/>
        </w:rPr>
        <w:t>、数据分类统计等；</w:t>
      </w:r>
    </w:p>
    <w:p w14:paraId="2F1ADF75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</w:pPr>
    </w:p>
    <w:p w14:paraId="69072990"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宋体" w:hAnsi="宋体" w:cs="宋体"/>
          <w:b/>
          <w:bCs/>
          <w:color w:val="000000"/>
          <w:sz w:val="32"/>
          <w:szCs w:val="32"/>
          <w:highlight w:val="none"/>
          <w:lang w:val="en-US" w:eastAsia="zh-CN"/>
        </w:rPr>
        <w:t>配置要求至少包括：</w:t>
      </w:r>
    </w:p>
    <w:p w14:paraId="5F878797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主机（含系统软件）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ab/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1台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ab/>
      </w:r>
    </w:p>
    <w:p w14:paraId="6D54B5AF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多普勒超声探头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ab/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1把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ab/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1.6M探头</w:t>
      </w:r>
    </w:p>
    <w:p w14:paraId="4746711B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多普勒超声探头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ab/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1把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ab/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4M探头</w:t>
      </w:r>
    </w:p>
    <w:p w14:paraId="53ED5C8C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多普勒超声探头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ab/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2把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ab/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2M探头</w:t>
      </w:r>
    </w:p>
    <w:p w14:paraId="13A28490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台车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ab/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1台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ab/>
      </w:r>
    </w:p>
    <w:p w14:paraId="53B9BC6D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遥控器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ab/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1个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ab/>
      </w:r>
    </w:p>
    <w:p w14:paraId="5F2410E3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电池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ab/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1组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ab/>
      </w:r>
    </w:p>
    <w:p w14:paraId="2CFF48AD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打印机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ab/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1台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ab/>
      </w:r>
    </w:p>
    <w:p w14:paraId="0CB64954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无线键鼠套件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ab/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1套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ab/>
      </w:r>
    </w:p>
    <w:p w14:paraId="5ED19499">
      <w:pPr>
        <w:jc w:val="left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主机旋转支架铝材组件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ab/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1套</w:t>
      </w:r>
    </w:p>
    <w:p w14:paraId="26AF2E20">
      <w:pPr>
        <w:widowControl/>
        <w:jc w:val="left"/>
        <w:textAlignment w:val="center"/>
        <w:rPr>
          <w:rFonts w:hint="default"/>
          <w:sz w:val="28"/>
          <w:szCs w:val="28"/>
          <w:rtl w:val="0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720" w:right="850" w:bottom="720" w:left="850" w:header="0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B1048D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67FAB5">
                          <w:pPr>
                            <w:pStyle w:val="9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167FAB5">
                    <w:pPr>
                      <w:pStyle w:val="9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BCB5D7">
    <w:pPr>
      <w:pStyle w:val="9"/>
      <w:bidi w:val="0"/>
    </w:pPr>
  </w:p>
  <w:p w14:paraId="2B9C01FB">
    <w:pPr>
      <w:pStyle w:val="9"/>
      <w:bidi w:val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0F68C8"/>
    <w:multiLevelType w:val="multilevel"/>
    <w:tmpl w:val="3B0F68C8"/>
    <w:lvl w:ilvl="0" w:tentative="0">
      <w:start w:val="1"/>
      <w:numFmt w:val="chineseCountingThousand"/>
      <w:lvlText w:val="%1"/>
      <w:lvlJc w:val="left"/>
      <w:pPr>
        <w:ind w:left="0" w:firstLine="0"/>
      </w:pPr>
      <w:rPr>
        <w:rFonts w:hint="eastAsia"/>
        <w:b/>
        <w:bCs/>
        <w:lang w:val="en-US"/>
      </w:rPr>
    </w:lvl>
    <w:lvl w:ilvl="1" w:tentative="0">
      <w:start w:val="1"/>
      <w:numFmt w:val="chineseCountingThousand"/>
      <w:pStyle w:val="3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none"/>
      <w:lvlText w:val="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">
    <w:nsid w:val="3F5448FA"/>
    <w:multiLevelType w:val="multilevel"/>
    <w:tmpl w:val="3F5448FA"/>
    <w:lvl w:ilvl="0" w:tentative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isLgl/>
      <w:lvlText w:val="%1.%2"/>
      <w:lvlJc w:val="left"/>
      <w:pPr>
        <w:ind w:left="992" w:hanging="567"/>
      </w:pPr>
      <w:rPr>
        <w:rFonts w:hint="eastAsia" w:eastAsia="微软雅黑"/>
        <w:b/>
        <w:i w:val="0"/>
        <w:sz w:val="24"/>
      </w:rPr>
    </w:lvl>
    <w:lvl w:ilvl="2" w:tentative="0">
      <w:start w:val="1"/>
      <w:numFmt w:val="decimal"/>
      <w:pStyle w:val="4"/>
      <w:lvlText w:val="%1.%2.%3"/>
      <w:lvlJc w:val="left"/>
      <w:pPr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NhZTdiMDY4YmIwMTJhMDRjN2ZhN2IxNjRlN2E4Y2IifQ=="/>
  </w:docVars>
  <w:rsids>
    <w:rsidRoot w:val="224950AE"/>
    <w:rsid w:val="00083D08"/>
    <w:rsid w:val="00436CC0"/>
    <w:rsid w:val="00AE46C1"/>
    <w:rsid w:val="00F23663"/>
    <w:rsid w:val="0264611C"/>
    <w:rsid w:val="044540D2"/>
    <w:rsid w:val="04A623B2"/>
    <w:rsid w:val="05720BF6"/>
    <w:rsid w:val="06062C89"/>
    <w:rsid w:val="062720AA"/>
    <w:rsid w:val="06710A92"/>
    <w:rsid w:val="067233A7"/>
    <w:rsid w:val="072B4E54"/>
    <w:rsid w:val="07D06A0C"/>
    <w:rsid w:val="0A676848"/>
    <w:rsid w:val="0D6818CE"/>
    <w:rsid w:val="0D812937"/>
    <w:rsid w:val="0DF278CE"/>
    <w:rsid w:val="0E12490C"/>
    <w:rsid w:val="0EAB045C"/>
    <w:rsid w:val="10234B61"/>
    <w:rsid w:val="11E82337"/>
    <w:rsid w:val="13267712"/>
    <w:rsid w:val="13A936B7"/>
    <w:rsid w:val="14DD3445"/>
    <w:rsid w:val="1576127C"/>
    <w:rsid w:val="17C07DBD"/>
    <w:rsid w:val="17E7423B"/>
    <w:rsid w:val="17ED5AA2"/>
    <w:rsid w:val="18FA6024"/>
    <w:rsid w:val="190F49FC"/>
    <w:rsid w:val="19161889"/>
    <w:rsid w:val="1B4B7A22"/>
    <w:rsid w:val="1B910597"/>
    <w:rsid w:val="1CE85224"/>
    <w:rsid w:val="1D1722B1"/>
    <w:rsid w:val="1D50332A"/>
    <w:rsid w:val="1E7B0701"/>
    <w:rsid w:val="1F015FC2"/>
    <w:rsid w:val="1F1D6E3B"/>
    <w:rsid w:val="212A6ADA"/>
    <w:rsid w:val="215D20F7"/>
    <w:rsid w:val="21DA3042"/>
    <w:rsid w:val="22282CF3"/>
    <w:rsid w:val="224950AE"/>
    <w:rsid w:val="24A00D71"/>
    <w:rsid w:val="24FB212D"/>
    <w:rsid w:val="25ED47B3"/>
    <w:rsid w:val="26D8273E"/>
    <w:rsid w:val="2709334C"/>
    <w:rsid w:val="280420EF"/>
    <w:rsid w:val="2B255AEE"/>
    <w:rsid w:val="2BCC11F8"/>
    <w:rsid w:val="2D257878"/>
    <w:rsid w:val="2FCB303A"/>
    <w:rsid w:val="30082809"/>
    <w:rsid w:val="302A31AC"/>
    <w:rsid w:val="319A7E85"/>
    <w:rsid w:val="3397114B"/>
    <w:rsid w:val="33BF66E2"/>
    <w:rsid w:val="341D7F25"/>
    <w:rsid w:val="34F352BA"/>
    <w:rsid w:val="37526F2B"/>
    <w:rsid w:val="3780196E"/>
    <w:rsid w:val="3945168C"/>
    <w:rsid w:val="39CF5A21"/>
    <w:rsid w:val="3B2D25D1"/>
    <w:rsid w:val="3D861AF0"/>
    <w:rsid w:val="3E7F33BB"/>
    <w:rsid w:val="3EED01A1"/>
    <w:rsid w:val="3F501B73"/>
    <w:rsid w:val="41E42EAD"/>
    <w:rsid w:val="42995688"/>
    <w:rsid w:val="44346735"/>
    <w:rsid w:val="44595AB1"/>
    <w:rsid w:val="448B5379"/>
    <w:rsid w:val="45337185"/>
    <w:rsid w:val="474B073A"/>
    <w:rsid w:val="48816CAD"/>
    <w:rsid w:val="4A027E2A"/>
    <w:rsid w:val="4A076B95"/>
    <w:rsid w:val="4A302AFA"/>
    <w:rsid w:val="4BC250E2"/>
    <w:rsid w:val="4C6B1964"/>
    <w:rsid w:val="4CD468B9"/>
    <w:rsid w:val="4CED5BF4"/>
    <w:rsid w:val="4D21479E"/>
    <w:rsid w:val="4D8A1F33"/>
    <w:rsid w:val="4DCD0FF6"/>
    <w:rsid w:val="4FEF54E0"/>
    <w:rsid w:val="50C62D75"/>
    <w:rsid w:val="515502AB"/>
    <w:rsid w:val="51634CBF"/>
    <w:rsid w:val="519B7599"/>
    <w:rsid w:val="51DB7902"/>
    <w:rsid w:val="51F30A22"/>
    <w:rsid w:val="5372623C"/>
    <w:rsid w:val="545E206C"/>
    <w:rsid w:val="57D32355"/>
    <w:rsid w:val="58210931"/>
    <w:rsid w:val="589B7282"/>
    <w:rsid w:val="58F569D7"/>
    <w:rsid w:val="5B4827C8"/>
    <w:rsid w:val="5BA27DF4"/>
    <w:rsid w:val="5DCE488A"/>
    <w:rsid w:val="5DD30077"/>
    <w:rsid w:val="5E1F0659"/>
    <w:rsid w:val="5EFB5FD4"/>
    <w:rsid w:val="6032296F"/>
    <w:rsid w:val="603574B1"/>
    <w:rsid w:val="61B73C28"/>
    <w:rsid w:val="6528225D"/>
    <w:rsid w:val="66AF5BE6"/>
    <w:rsid w:val="68C549EB"/>
    <w:rsid w:val="6B2A4DF1"/>
    <w:rsid w:val="6B6508C9"/>
    <w:rsid w:val="6BF911EA"/>
    <w:rsid w:val="6C7F1218"/>
    <w:rsid w:val="6FB04BBB"/>
    <w:rsid w:val="7011310F"/>
    <w:rsid w:val="71363A91"/>
    <w:rsid w:val="728924C0"/>
    <w:rsid w:val="73542AF0"/>
    <w:rsid w:val="74B8427F"/>
    <w:rsid w:val="75964E43"/>
    <w:rsid w:val="7861348A"/>
    <w:rsid w:val="791816C7"/>
    <w:rsid w:val="79490310"/>
    <w:rsid w:val="79EF706B"/>
    <w:rsid w:val="7B030F51"/>
    <w:rsid w:val="7B866F34"/>
    <w:rsid w:val="7BAE0860"/>
    <w:rsid w:val="7BBD6965"/>
    <w:rsid w:val="7C417413"/>
    <w:rsid w:val="7D430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qFormat="1" w:uiPriority="99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paragraph" w:styleId="3">
    <w:name w:val="heading 2"/>
    <w:basedOn w:val="4"/>
    <w:next w:val="1"/>
    <w:autoRedefine/>
    <w:unhideWhenUsed/>
    <w:qFormat/>
    <w:uiPriority w:val="9"/>
    <w:pPr>
      <w:keepNext/>
      <w:keepLines/>
      <w:numPr>
        <w:ilvl w:val="1"/>
        <w:numId w:val="1"/>
      </w:numPr>
      <w:outlineLvl w:val="1"/>
    </w:pPr>
    <w:rPr>
      <w:rFonts w:asciiTheme="majorHAnsi" w:hAnsiTheme="majorHAnsi" w:cstheme="majorBidi"/>
      <w:szCs w:val="32"/>
    </w:rPr>
  </w:style>
  <w:style w:type="paragraph" w:styleId="4">
    <w:name w:val="heading 3"/>
    <w:basedOn w:val="1"/>
    <w:next w:val="1"/>
    <w:autoRedefine/>
    <w:unhideWhenUsed/>
    <w:qFormat/>
    <w:uiPriority w:val="9"/>
    <w:pPr>
      <w:keepNext/>
      <w:keepLines/>
      <w:numPr>
        <w:ilvl w:val="2"/>
        <w:numId w:val="2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5">
    <w:name w:val="Default Paragraph Font"/>
    <w:autoRedefine/>
    <w:semiHidden/>
    <w:unhideWhenUsed/>
    <w:qFormat/>
    <w:uiPriority w:val="1"/>
  </w:style>
  <w:style w:type="table" w:default="1" w:styleId="1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unhideWhenUsed/>
    <w:qFormat/>
    <w:uiPriority w:val="99"/>
    <w:pPr>
      <w:jc w:val="left"/>
    </w:pPr>
    <w:rPr>
      <w:rFonts w:ascii="Times New Roman" w:hAnsi="Times New Roman"/>
      <w:kern w:val="0"/>
      <w:sz w:val="20"/>
    </w:rPr>
  </w:style>
  <w:style w:type="paragraph" w:styleId="6">
    <w:name w:val="Body Text"/>
    <w:basedOn w:val="1"/>
    <w:autoRedefine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7">
    <w:name w:val="Body Text Indent"/>
    <w:basedOn w:val="1"/>
    <w:next w:val="8"/>
    <w:unhideWhenUsed/>
    <w:qFormat/>
    <w:uiPriority w:val="99"/>
    <w:pPr>
      <w:spacing w:after="120"/>
      <w:ind w:left="420" w:leftChars="200"/>
    </w:pPr>
  </w:style>
  <w:style w:type="paragraph" w:styleId="8">
    <w:name w:val="Body Text First Indent 2"/>
    <w:basedOn w:val="7"/>
    <w:autoRedefine/>
    <w:qFormat/>
    <w:uiPriority w:val="0"/>
    <w:pPr>
      <w:spacing w:after="120"/>
      <w:ind w:left="420" w:leftChars="200" w:firstLine="420" w:firstLineChars="200"/>
    </w:pPr>
  </w:style>
  <w:style w:type="paragraph" w:styleId="9">
    <w:name w:val="footer"/>
    <w:basedOn w:val="1"/>
    <w:link w:val="2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12">
    <w:name w:val="Title"/>
    <w:basedOn w:val="1"/>
    <w:autoRedefine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table" w:styleId="14">
    <w:name w:val="Table Grid"/>
    <w:basedOn w:val="13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autoRedefine/>
    <w:qFormat/>
    <w:uiPriority w:val="0"/>
    <w:rPr>
      <w:b/>
    </w:rPr>
  </w:style>
  <w:style w:type="character" w:styleId="17">
    <w:name w:val="Emphasis"/>
    <w:basedOn w:val="15"/>
    <w:qFormat/>
    <w:uiPriority w:val="0"/>
    <w:rPr>
      <w:i/>
    </w:rPr>
  </w:style>
  <w:style w:type="paragraph" w:customStyle="1" w:styleId="18">
    <w:name w:val="表格文字"/>
    <w:basedOn w:val="1"/>
    <w:autoRedefine/>
    <w:qFormat/>
    <w:uiPriority w:val="0"/>
    <w:pPr>
      <w:spacing w:before="25" w:after="25" w:line="240" w:lineRule="auto"/>
      <w:ind w:firstLine="0"/>
      <w:jc w:val="left"/>
    </w:pPr>
    <w:rPr>
      <w:spacing w:val="10"/>
      <w:kern w:val="0"/>
      <w:sz w:val="24"/>
      <w:szCs w:val="24"/>
    </w:rPr>
  </w:style>
  <w:style w:type="paragraph" w:customStyle="1" w:styleId="19">
    <w:name w:val="首行缩进"/>
    <w:basedOn w:val="1"/>
    <w:qFormat/>
    <w:uiPriority w:val="0"/>
    <w:pPr>
      <w:ind w:firstLine="480" w:firstLineChars="200"/>
    </w:pPr>
  </w:style>
  <w:style w:type="paragraph" w:customStyle="1" w:styleId="20">
    <w:name w:val="列出段落1"/>
    <w:basedOn w:val="1"/>
    <w:autoRedefine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paragraph" w:styleId="21">
    <w:name w:val="List Paragraph"/>
    <w:basedOn w:val="1"/>
    <w:autoRedefine/>
    <w:qFormat/>
    <w:uiPriority w:val="34"/>
    <w:pPr>
      <w:ind w:left="400" w:hanging="281"/>
    </w:pPr>
    <w:rPr>
      <w:rFonts w:ascii="宋体" w:hAnsi="宋体" w:cs="宋体"/>
      <w:lang w:val="zh-CN" w:bidi="zh-CN"/>
    </w:rPr>
  </w:style>
  <w:style w:type="character" w:customStyle="1" w:styleId="22">
    <w:name w:val="apple-style-span"/>
    <w:basedOn w:val="15"/>
    <w:autoRedefine/>
    <w:qFormat/>
    <w:uiPriority w:val="0"/>
  </w:style>
  <w:style w:type="character" w:customStyle="1" w:styleId="23">
    <w:name w:val="页脚 字符"/>
    <w:basedOn w:val="15"/>
    <w:link w:val="9"/>
    <w:autoRedefine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24">
    <w:name w:val="NormalCharacter"/>
    <w:autoRedefine/>
    <w:semiHidden/>
    <w:qFormat/>
    <w:uiPriority w:val="0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UserStyle_0"/>
    <w:basedOn w:val="1"/>
    <w:autoRedefine/>
    <w:qFormat/>
    <w:uiPriority w:val="0"/>
    <w:pPr>
      <w:spacing w:line="300" w:lineRule="auto"/>
      <w:textAlignment w:val="baseline"/>
    </w:pPr>
    <w:rPr>
      <w:rFonts w:asciiTheme="minorHAnsi" w:hAnsiTheme="minorHAnsi" w:eastAsiaTheme="minorEastAsia" w:cstheme="minorBidi"/>
      <w:b/>
      <w:kern w:val="0"/>
      <w:sz w:val="24"/>
      <w:szCs w:val="20"/>
    </w:rPr>
  </w:style>
  <w:style w:type="paragraph" w:customStyle="1" w:styleId="26">
    <w:name w:val="NormalIndent"/>
    <w:basedOn w:val="1"/>
    <w:autoRedefine/>
    <w:qFormat/>
    <w:uiPriority w:val="0"/>
    <w:pPr>
      <w:ind w:firstLine="420"/>
      <w:textAlignment w:val="baseline"/>
    </w:pPr>
    <w:rPr>
      <w:rFonts w:asciiTheme="minorHAnsi" w:hAnsiTheme="minorHAnsi" w:eastAsiaTheme="minorEastAsia" w:cstheme="minorBidi"/>
      <w:szCs w:val="20"/>
    </w:rPr>
  </w:style>
  <w:style w:type="paragraph" w:customStyle="1" w:styleId="27">
    <w:name w:val="正文 A"/>
    <w:autoRedefine/>
    <w:qFormat/>
    <w:uiPriority w:val="0"/>
    <w:pPr>
      <w:framePr w:wrap="around" w:vAnchor="margin" w:hAnchor="text" w:y="1"/>
      <w:widowControl w:val="0"/>
      <w:jc w:val="both"/>
    </w:pPr>
    <w:rPr>
      <w:rFonts w:ascii="Calibri" w:hAnsi="Calibri" w:eastAsia="Arial Unicode MS" w:cs="Arial Unicode MS"/>
      <w:color w:val="000000"/>
      <w:kern w:val="2"/>
      <w:sz w:val="21"/>
      <w:szCs w:val="21"/>
      <w:u w:val="none" w:color="000000"/>
      <w:lang w:val="en-US" w:eastAsia="zh-CN" w:bidi="ar-SA"/>
    </w:rPr>
  </w:style>
  <w:style w:type="paragraph" w:customStyle="1" w:styleId="28">
    <w:name w:val="列表段落1"/>
    <w:basedOn w:val="1"/>
    <w:autoRedefine/>
    <w:qFormat/>
    <w:uiPriority w:val="34"/>
    <w:pPr>
      <w:ind w:firstLine="420" w:firstLineChars="200"/>
    </w:pPr>
  </w:style>
  <w:style w:type="paragraph" w:customStyle="1" w:styleId="29">
    <w:name w:val="List Paragraph1"/>
    <w:basedOn w:val="1"/>
    <w:autoRedefine/>
    <w:qFormat/>
    <w:uiPriority w:val="0"/>
    <w:pPr>
      <w:ind w:firstLine="420" w:firstLineChars="200"/>
    </w:pPr>
  </w:style>
  <w:style w:type="paragraph" w:customStyle="1" w:styleId="30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31">
    <w:name w:val="paragraph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32">
    <w:name w:val="normaltextrun"/>
    <w:basedOn w:val="15"/>
    <w:autoRedefine/>
    <w:qFormat/>
    <w:uiPriority w:val="0"/>
  </w:style>
  <w:style w:type="character" w:customStyle="1" w:styleId="33">
    <w:name w:val="eop"/>
    <w:basedOn w:val="15"/>
    <w:autoRedefine/>
    <w:qFormat/>
    <w:uiPriority w:val="0"/>
  </w:style>
  <w:style w:type="character" w:customStyle="1" w:styleId="34">
    <w:name w:val="font31"/>
    <w:basedOn w:val="15"/>
    <w:autoRedefine/>
    <w:qFormat/>
    <w:uiPriority w:val="0"/>
    <w:rPr>
      <w:rFonts w:hint="default" w:ascii="Calibri" w:hAnsi="Calibri" w:cs="Calibri"/>
      <w:color w:val="000000"/>
      <w:sz w:val="21"/>
      <w:szCs w:val="21"/>
      <w:u w:val="none"/>
    </w:rPr>
  </w:style>
  <w:style w:type="paragraph" w:styleId="35">
    <w:name w:val="No Spacing"/>
    <w:autoRedefine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36">
    <w:name w:val="font41"/>
    <w:basedOn w:val="15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37">
    <w:name w:val="font01"/>
    <w:basedOn w:val="15"/>
    <w:autoRedefine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38">
    <w:name w:val="fontstyle11"/>
    <w:basedOn w:val="15"/>
    <w:qFormat/>
    <w:uiPriority w:val="0"/>
    <w:rPr>
      <w:rFonts w:hint="default" w:ascii="仿宋" w:hAnsi="仿宋"/>
      <w:color w:val="000000"/>
      <w:sz w:val="30"/>
      <w:szCs w:val="30"/>
    </w:rPr>
  </w:style>
  <w:style w:type="paragraph" w:customStyle="1" w:styleId="39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40">
    <w:name w:val="正文缩进2格"/>
    <w:basedOn w:val="41"/>
    <w:qFormat/>
    <w:uiPriority w:val="0"/>
    <w:pPr>
      <w:spacing w:after="120" w:line="600" w:lineRule="exact"/>
      <w:ind w:firstLine="639" w:firstLineChars="206"/>
    </w:pPr>
    <w:rPr>
      <w:rFonts w:ascii="仿宋_GB2312" w:hAnsi="宋体" w:eastAsia="仿宋_GB2312"/>
      <w:sz w:val="31"/>
      <w:szCs w:val="28"/>
    </w:rPr>
  </w:style>
  <w:style w:type="paragraph" w:customStyle="1" w:styleId="41">
    <w:name w:val="正文1"/>
    <w:basedOn w:val="1"/>
    <w:qFormat/>
    <w:uiPriority w:val="0"/>
    <w:pPr>
      <w:spacing w:before="60" w:after="60" w:line="360" w:lineRule="auto"/>
      <w:outlineLvl w:val="6"/>
    </w:pPr>
    <w:rPr>
      <w:rFonts w:ascii="Times New Roman" w:hAnsi="Times New Roman" w:eastAsia="宋体" w:cs="Times New Roman"/>
      <w:sz w:val="24"/>
      <w:szCs w:val="24"/>
    </w:rPr>
  </w:style>
  <w:style w:type="table" w:customStyle="1" w:styleId="42">
    <w:name w:val="网格型1"/>
    <w:basedOn w:val="13"/>
    <w:qFormat/>
    <w:uiPriority w:val="59"/>
    <w:rPr>
      <w:rFonts w:ascii="Calibri" w:hAnsi="Calibri" w:eastAsia="Times New Roman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3">
    <w:name w:val="Plain Text1"/>
    <w:basedOn w:val="1"/>
    <w:qFormat/>
    <w:uiPriority w:val="0"/>
    <w:rPr>
      <w:rFonts w:ascii="宋体" w:hAnsi="Courier New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2538</Words>
  <Characters>2786</Characters>
  <Lines>10</Lines>
  <Paragraphs>2</Paragraphs>
  <TotalTime>3</TotalTime>
  <ScaleCrop>false</ScaleCrop>
  <LinksUpToDate>false</LinksUpToDate>
  <CharactersWithSpaces>2913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2022-03-24T07:10:00Z</dcterms:created>
  <dc:creator>设备科温</dc:creator>
  <cp:lastModifiedBy>木江水</cp:lastModifiedBy>
  <cp:lastPrinted>2025-02-26T03:42:06Z</cp:lastPrinted>
  <dcterms:modified xsi:type="dcterms:W3CDTF">2025-02-26T03:44:32Z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4AC06BCA9B924D0AA08A28B43A358F85</vt:lpwstr>
  </property>
  <property fmtid="{D5CDD505-2E9C-101B-9397-08002B2CF9AE}" pid="4" name="KSOTemplateDocerSaveRecord">
    <vt:lpwstr>eyJoZGlkIjoiNTJkMDFlOWU2NTIzZTliY2IwN2Y2NGEwMjRmMmU0ZjEiLCJ1c2VySWQiOiI5NjA4MjU2MTMifQ==</vt:lpwstr>
  </property>
</Properties>
</file>