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项目18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牵引床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项目19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心电图分析仪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62D60FC1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项目18：</w:t>
      </w:r>
      <w:r>
        <w:rPr>
          <w:rFonts w:hint="eastAsia"/>
        </w:rPr>
        <w:t>牵引床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1B0EDAD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一、腰椎牵引技术参数</w:t>
      </w:r>
    </w:p>
    <w:p w14:paraId="42B060E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尺寸≥2450*600*2100mm,允差±50mm</w:t>
      </w:r>
    </w:p>
    <w:p w14:paraId="24906F9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1、电源电压:220V±22V 50HZ±1HZ;</w:t>
      </w:r>
    </w:p>
    <w:p w14:paraId="2D331D8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2、额定输入功率≤50VA:</w:t>
      </w:r>
    </w:p>
    <w:p w14:paraId="5843BC8C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3、腰椎牵引行程≥0~200mm;</w:t>
      </w:r>
    </w:p>
    <w:p w14:paraId="098C058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4、腰椎牵引总时间至少0~99min 任意可调,步进 1min;</w:t>
      </w:r>
    </w:p>
    <w:p w14:paraId="12C8DAC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5、腰椎牵引力≥0~990N</w:t>
      </w:r>
    </w:p>
    <w:p w14:paraId="787F58D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6、牵引时间至少0~9min任意可调,步进 1min;</w:t>
      </w:r>
    </w:p>
    <w:p w14:paraId="1E77EEC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7、间歇时间至少0~9min 任意可调,步进 1min;</w:t>
      </w:r>
    </w:p>
    <w:p w14:paraId="2A8578C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8、成角动作范围≥0~+30°;</w:t>
      </w:r>
    </w:p>
    <w:p w14:paraId="27477D1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9、微电脑控制腰椎牵引、颈椎牵引;</w:t>
      </w:r>
    </w:p>
    <w:p w14:paraId="25240C7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10、采用数码管显示视窗;</w:t>
      </w:r>
    </w:p>
    <w:p w14:paraId="5C88BC3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11、具有纵向牵引及手动成角(二维牵引功能);</w:t>
      </w:r>
    </w:p>
    <w:p w14:paraId="2878048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12、微电脑控制腰椎牵引，具有持续牵引、间歇牵引、反复牵引等至少八种牵引治疗模式，具备牵引力自动补偿功能;</w:t>
      </w:r>
    </w:p>
    <w:p w14:paraId="3BDB9C5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13、至少20种治疗方案存储并读取;</w:t>
      </w:r>
    </w:p>
    <w:p w14:paraId="482FA8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14、多种安全设计，最大牵引力≥99kg，至少包括患者应急线控开关、医务人员操作急退键。</w:t>
      </w:r>
    </w:p>
    <w:p w14:paraId="1DC861C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二、</w:t>
      </w:r>
      <w:bookmarkStart w:id="2" w:name="_GoBack"/>
      <w:bookmarkEnd w:id="2"/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颈椎牵引技术参数</w:t>
      </w:r>
    </w:p>
    <w:p w14:paraId="21CE42C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1、颈椎牵引力≥0~300N,步进 10N;</w:t>
      </w:r>
    </w:p>
    <w:p w14:paraId="5392C9C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2、颈椎牵引行程≥0~300mm;</w:t>
      </w:r>
    </w:p>
    <w:p w14:paraId="5EC70C3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3、医务人员均可控制牵引力大小，操作方便;</w:t>
      </w:r>
    </w:p>
    <w:p w14:paraId="20D3CAF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4、颈椎牵引曲度可以调节。</w:t>
      </w:r>
    </w:p>
    <w:p w14:paraId="661C940F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项目19：</w:t>
      </w:r>
      <w:r>
        <w:rPr>
          <w:rFonts w:hint="eastAsia"/>
        </w:rPr>
        <w:t>心电图分析仪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7B8B3D38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621E6DE5">
      <w:pPr>
        <w:spacing w:line="24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</w:rPr>
        <w:t>必须能支持连入我院目前的心电系统，并包含端口费用</w:t>
      </w:r>
    </w:p>
    <w:p w14:paraId="3F94AA82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2、ECG输入：12通道同步采集</w:t>
      </w:r>
    </w:p>
    <w:p w14:paraId="5F7E7E0D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3、频率响应：0.04-300Hz(-3db)</w:t>
      </w:r>
    </w:p>
    <w:p w14:paraId="31CA96E5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4、耐极化电压：±600mv</w:t>
      </w:r>
    </w:p>
    <w:p w14:paraId="1BA2A2E8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5、共模抑制比：≥125dB</w:t>
      </w:r>
    </w:p>
    <w:p w14:paraId="02384DE5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6、采样率≥512000/秒/通道 </w:t>
      </w:r>
    </w:p>
    <w:p w14:paraId="33F4F6DC">
      <w:pPr>
        <w:spacing w:line="240" w:lineRule="auto"/>
        <w:contextualSpacing/>
        <w:rPr>
          <w:rFonts w:ascii="宋体" w:hAnsi="宋体" w:cs="宋体"/>
          <w:szCs w:val="21"/>
        </w:rPr>
      </w:pPr>
      <w:bookmarkStart w:id="0" w:name="_Toc23088"/>
      <w:bookmarkStart w:id="1" w:name="_Toc18647"/>
      <w:r>
        <w:rPr>
          <w:rFonts w:hint="eastAsia" w:ascii="宋体" w:hAnsi="宋体" w:cs="宋体"/>
          <w:szCs w:val="21"/>
        </w:rPr>
        <w:t>7、输入阻抗：≥50MΩ@10Hz，抗除颤电击保护功能</w:t>
      </w:r>
    </w:p>
    <w:p w14:paraId="06B9BF42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8、抗干扰滤波：具有交流滤波、肌电滤波、漂移滤波功能</w:t>
      </w:r>
      <w:bookmarkEnd w:id="0"/>
      <w:bookmarkEnd w:id="1"/>
    </w:p>
    <w:p w14:paraId="6D86205E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9.独立起搏通道，能够自动标识起搏钉并显示；起搏检测频率≥75000/秒/通道</w:t>
      </w:r>
    </w:p>
    <w:p w14:paraId="3FC4DFEA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10、具有辅助分析和诊断性能，符合YY-0782-2010分析型心电图机专用要求，支持自动测量与自动解释功能</w:t>
      </w:r>
    </w:p>
    <w:p w14:paraId="2CCB0D2A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11、支持FDA或CFDA认证的自动测量诊断软件，并提供技术说明白皮书</w:t>
      </w:r>
    </w:p>
    <w:p w14:paraId="7B8CE44A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12、支持3岁到16岁儿童，16岁及以上成人分析；支持男性、女性特异性分析</w:t>
      </w:r>
    </w:p>
    <w:p w14:paraId="3F5E55FE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13、支持信号质量检测：可连续自动检测信号质量，并有红黄绿信号指示灯显示</w:t>
      </w:r>
    </w:p>
    <w:p w14:paraId="5C83D446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14、QTC计算：提供Bazett、Framingham、Fridericia3种QTC计算公式</w:t>
      </w:r>
    </w:p>
    <w:p w14:paraId="6599BE62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15、电源：交直流两用，内置可充电可更换锂离子电池，充足后可记录大于等于200份心电图或3小时监测</w:t>
      </w:r>
    </w:p>
    <w:p w14:paraId="22283084">
      <w:pPr>
        <w:spacing w:line="240" w:lineRule="auto"/>
        <w:contextualSpacing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16、支持IPP协议打印机连接</w:t>
      </w:r>
    </w:p>
    <w:p w14:paraId="6E4B9346">
      <w:pPr>
        <w:spacing w:line="240" w:lineRule="auto"/>
        <w:contextualSpacing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17、支持内置无线模块</w:t>
      </w:r>
    </w:p>
    <w:p w14:paraId="7E8F3E3B">
      <w:pPr>
        <w:spacing w:line="240" w:lineRule="auto"/>
        <w:contextualSpacing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18、配送移动推车一台</w:t>
      </w:r>
    </w:p>
    <w:p w14:paraId="733BB16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20446B7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2904037"/>
    <w:rsid w:val="14370E46"/>
    <w:rsid w:val="14B02E00"/>
    <w:rsid w:val="20660894"/>
    <w:rsid w:val="2498752D"/>
    <w:rsid w:val="33745910"/>
    <w:rsid w:val="3EDB6E11"/>
    <w:rsid w:val="4076252B"/>
    <w:rsid w:val="4FDC4C7A"/>
    <w:rsid w:val="519778A0"/>
    <w:rsid w:val="59B657E5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1061</Characters>
  <Lines>0</Lines>
  <Paragraphs>0</Paragraphs>
  <TotalTime>4</TotalTime>
  <ScaleCrop>false</ScaleCrop>
  <LinksUpToDate>false</LinksUpToDate>
  <CharactersWithSpaces>1102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2025-03-21T06:51:59Z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