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F4975">
      <w:pPr>
        <w:spacing w:line="480" w:lineRule="auto"/>
        <w:jc w:val="center"/>
        <w:rPr>
          <w:b/>
          <w:bCs/>
          <w:sz w:val="36"/>
          <w:szCs w:val="36"/>
        </w:rPr>
      </w:pPr>
      <w:r>
        <w:rPr>
          <w:rFonts w:hint="eastAsia"/>
          <w:b/>
          <w:bCs/>
          <w:sz w:val="36"/>
          <w:szCs w:val="36"/>
        </w:rPr>
        <w:t>文献数据库参数</w:t>
      </w:r>
    </w:p>
    <w:tbl>
      <w:tblPr>
        <w:tblStyle w:val="4"/>
        <w:tblW w:w="518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60"/>
        <w:gridCol w:w="1659"/>
        <w:gridCol w:w="5822"/>
      </w:tblGrid>
      <w:tr w14:paraId="7E0484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vMerge w:val="restart"/>
            <w:tcBorders>
              <w:tl2br w:val="nil"/>
              <w:tr2bl w:val="nil"/>
            </w:tcBorders>
            <w:shd w:val="clear" w:color="auto" w:fill="auto"/>
            <w:vAlign w:val="center"/>
          </w:tcPr>
          <w:p w14:paraId="7C505C7F">
            <w:pPr>
              <w:widowControl/>
              <w:jc w:val="center"/>
              <w:rPr>
                <w:rFonts w:hint="eastAsia"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文献资源</w:t>
            </w:r>
          </w:p>
        </w:tc>
        <w:tc>
          <w:tcPr>
            <w:tcW w:w="938" w:type="pct"/>
            <w:tcBorders>
              <w:tl2br w:val="nil"/>
              <w:tr2bl w:val="nil"/>
            </w:tcBorders>
            <w:shd w:val="clear" w:color="auto" w:fill="auto"/>
            <w:vAlign w:val="center"/>
          </w:tcPr>
          <w:p w14:paraId="2258B893">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cs="宋体" w:asciiTheme="minorEastAsia" w:hAnsiTheme="minorEastAsia" w:eastAsiaTheme="minorEastAsia"/>
                <w:color w:val="000000" w:themeColor="text1"/>
                <w:sz w:val="28"/>
                <w:szCs w:val="28"/>
                <w14:textFill>
                  <w14:solidFill>
                    <w14:schemeClr w14:val="tx1"/>
                  </w14:solidFill>
                </w14:textFill>
              </w:rPr>
              <w:t>中文期刊</w:t>
            </w:r>
          </w:p>
        </w:tc>
        <w:tc>
          <w:tcPr>
            <w:tcW w:w="3292" w:type="pct"/>
            <w:tcBorders>
              <w:tl2br w:val="nil"/>
              <w:tr2bl w:val="nil"/>
            </w:tcBorders>
            <w:shd w:val="clear" w:color="auto" w:fill="auto"/>
            <w:vAlign w:val="center"/>
          </w:tcPr>
          <w:p w14:paraId="6A2C2856">
            <w:pPr>
              <w:spacing w:line="360" w:lineRule="auto"/>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能获取国内所有的核心期刊(包括中文核心和科技核心期刊）</w:t>
            </w:r>
            <w:r>
              <w:rPr>
                <w:rFonts w:hint="eastAsia" w:cs="宋体" w:asciiTheme="minorEastAsia" w:hAnsiTheme="minorEastAsia" w:eastAsiaTheme="minorEastAsia"/>
                <w:sz w:val="28"/>
                <w:szCs w:val="28"/>
              </w:rPr>
              <w:t>的全文，文献来源合法合规，及时更新。</w:t>
            </w:r>
          </w:p>
        </w:tc>
      </w:tr>
      <w:tr w14:paraId="7AF580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vMerge w:val="continue"/>
            <w:tcBorders>
              <w:tl2br w:val="nil"/>
              <w:tr2bl w:val="nil"/>
            </w:tcBorders>
            <w:vAlign w:val="center"/>
          </w:tcPr>
          <w:p w14:paraId="589A258D">
            <w:pPr>
              <w:widowControl/>
              <w:rPr>
                <w:rFonts w:hint="eastAsia" w:cs="宋体" w:asciiTheme="minorEastAsia" w:hAnsiTheme="minorEastAsia" w:eastAsiaTheme="minorEastAsia"/>
                <w:b/>
                <w:bCs/>
                <w:color w:val="000000" w:themeColor="text1"/>
                <w:sz w:val="28"/>
                <w:szCs w:val="28"/>
                <w14:textFill>
                  <w14:solidFill>
                    <w14:schemeClr w14:val="tx1"/>
                  </w14:solidFill>
                </w14:textFill>
              </w:rPr>
            </w:pPr>
          </w:p>
        </w:tc>
        <w:tc>
          <w:tcPr>
            <w:tcW w:w="938" w:type="pct"/>
            <w:tcBorders>
              <w:tl2br w:val="nil"/>
              <w:tr2bl w:val="nil"/>
            </w:tcBorders>
            <w:shd w:val="clear" w:color="auto" w:fill="auto"/>
            <w:vAlign w:val="center"/>
          </w:tcPr>
          <w:p w14:paraId="02DBFD6A">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cs="宋体" w:asciiTheme="minorEastAsia" w:hAnsiTheme="minorEastAsia" w:eastAsiaTheme="minorEastAsia"/>
                <w:color w:val="000000" w:themeColor="text1"/>
                <w:sz w:val="28"/>
                <w:szCs w:val="28"/>
                <w14:textFill>
                  <w14:solidFill>
                    <w14:schemeClr w14:val="tx1"/>
                  </w14:solidFill>
                </w14:textFill>
              </w:rPr>
              <w:t>指南共识</w:t>
            </w:r>
          </w:p>
        </w:tc>
        <w:tc>
          <w:tcPr>
            <w:tcW w:w="3292" w:type="pct"/>
            <w:tcBorders>
              <w:tl2br w:val="nil"/>
              <w:tr2bl w:val="nil"/>
            </w:tcBorders>
            <w:shd w:val="clear" w:color="auto" w:fill="auto"/>
            <w:vAlign w:val="center"/>
          </w:tcPr>
          <w:p w14:paraId="4A2C6D3D">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能提供国内最新的指南共识意见。</w:t>
            </w:r>
          </w:p>
        </w:tc>
      </w:tr>
      <w:tr w14:paraId="454B5E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vMerge w:val="continue"/>
            <w:tcBorders>
              <w:tl2br w:val="nil"/>
              <w:tr2bl w:val="nil"/>
            </w:tcBorders>
            <w:vAlign w:val="center"/>
          </w:tcPr>
          <w:p w14:paraId="33C1ABDC">
            <w:pPr>
              <w:widowControl/>
              <w:rPr>
                <w:rFonts w:hint="eastAsia" w:cs="宋体" w:asciiTheme="minorEastAsia" w:hAnsiTheme="minorEastAsia" w:eastAsiaTheme="minorEastAsia"/>
                <w:b/>
                <w:bCs/>
                <w:color w:val="000000" w:themeColor="text1"/>
                <w:sz w:val="28"/>
                <w:szCs w:val="28"/>
                <w14:textFill>
                  <w14:solidFill>
                    <w14:schemeClr w14:val="tx1"/>
                  </w14:solidFill>
                </w14:textFill>
              </w:rPr>
            </w:pPr>
          </w:p>
        </w:tc>
        <w:tc>
          <w:tcPr>
            <w:tcW w:w="938" w:type="pct"/>
            <w:tcBorders>
              <w:tl2br w:val="nil"/>
              <w:tr2bl w:val="nil"/>
            </w:tcBorders>
            <w:shd w:val="clear" w:color="auto" w:fill="auto"/>
            <w:vAlign w:val="center"/>
          </w:tcPr>
          <w:p w14:paraId="28E1CB68">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cs="宋体" w:asciiTheme="minorEastAsia" w:hAnsiTheme="minorEastAsia" w:eastAsiaTheme="minorEastAsia"/>
                <w:color w:val="000000" w:themeColor="text1"/>
                <w:sz w:val="28"/>
                <w:szCs w:val="28"/>
                <w14:textFill>
                  <w14:solidFill>
                    <w14:schemeClr w14:val="tx1"/>
                  </w14:solidFill>
                </w14:textFill>
              </w:rPr>
              <w:t>学位论文</w:t>
            </w:r>
          </w:p>
        </w:tc>
        <w:tc>
          <w:tcPr>
            <w:tcW w:w="3292" w:type="pct"/>
            <w:tcBorders>
              <w:tl2br w:val="nil"/>
              <w:tr2bl w:val="nil"/>
            </w:tcBorders>
            <w:shd w:val="clear" w:color="auto" w:fill="auto"/>
            <w:vAlign w:val="center"/>
          </w:tcPr>
          <w:p w14:paraId="671A6B6E">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提供国内发表的生物医学类学位论文，包含硕博论文。</w:t>
            </w:r>
          </w:p>
        </w:tc>
      </w:tr>
      <w:tr w14:paraId="67E9F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vMerge w:val="continue"/>
            <w:tcBorders>
              <w:tl2br w:val="nil"/>
              <w:tr2bl w:val="nil"/>
            </w:tcBorders>
            <w:vAlign w:val="center"/>
          </w:tcPr>
          <w:p w14:paraId="16D655C5">
            <w:pPr>
              <w:widowControl/>
              <w:rPr>
                <w:rFonts w:hint="eastAsia" w:cs="宋体" w:asciiTheme="minorEastAsia" w:hAnsiTheme="minorEastAsia" w:eastAsiaTheme="minorEastAsia"/>
                <w:b/>
                <w:bCs/>
                <w:color w:val="000000" w:themeColor="text1"/>
                <w:sz w:val="28"/>
                <w:szCs w:val="28"/>
                <w14:textFill>
                  <w14:solidFill>
                    <w14:schemeClr w14:val="tx1"/>
                  </w14:solidFill>
                </w14:textFill>
              </w:rPr>
            </w:pPr>
          </w:p>
        </w:tc>
        <w:tc>
          <w:tcPr>
            <w:tcW w:w="938" w:type="pct"/>
            <w:tcBorders>
              <w:tl2br w:val="nil"/>
              <w:tr2bl w:val="nil"/>
            </w:tcBorders>
            <w:shd w:val="clear" w:color="auto" w:fill="auto"/>
            <w:vAlign w:val="center"/>
          </w:tcPr>
          <w:p w14:paraId="6E93FAED">
            <w:pPr>
              <w:widowControl/>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外文期刊</w:t>
            </w:r>
          </w:p>
        </w:tc>
        <w:tc>
          <w:tcPr>
            <w:tcW w:w="3292" w:type="pct"/>
            <w:tcBorders>
              <w:tl2br w:val="nil"/>
              <w:tr2bl w:val="nil"/>
            </w:tcBorders>
            <w:shd w:val="clear" w:color="auto" w:fill="auto"/>
            <w:vAlign w:val="center"/>
          </w:tcPr>
          <w:p w14:paraId="6278656E">
            <w:pPr>
              <w:pStyle w:val="7"/>
              <w:spacing w:line="400" w:lineRule="exact"/>
              <w:ind w:firstLine="0" w:firstLineChars="0"/>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获取</w:t>
            </w:r>
            <w:r>
              <w:rPr>
                <w:rFonts w:hint="eastAsia" w:asciiTheme="minorEastAsia" w:hAnsiTheme="minorEastAsia" w:eastAsiaTheme="minorEastAsia"/>
                <w:sz w:val="28"/>
                <w:szCs w:val="28"/>
              </w:rPr>
              <w:t>国外常见外文数据库（如</w:t>
            </w:r>
            <w:r>
              <w:rPr>
                <w:rFonts w:hint="eastAsia" w:cs="宋体" w:asciiTheme="minorEastAsia" w:hAnsiTheme="minorEastAsia" w:eastAsiaTheme="minorEastAsia"/>
                <w:color w:val="000000"/>
                <w:sz w:val="28"/>
                <w:szCs w:val="28"/>
              </w:rPr>
              <w:t>Pubmed、Web Of Science、Elsevier等</w:t>
            </w:r>
            <w:r>
              <w:rPr>
                <w:rFonts w:hint="eastAsia" w:asciiTheme="minorEastAsia" w:hAnsiTheme="minorEastAsia" w:eastAsiaTheme="minorEastAsia"/>
                <w:sz w:val="28"/>
                <w:szCs w:val="28"/>
              </w:rPr>
              <w:t>）中的全文，及时更新，并</w:t>
            </w:r>
            <w:r>
              <w:rPr>
                <w:rFonts w:hint="eastAsia" w:cs="宋体" w:asciiTheme="minorEastAsia" w:hAnsiTheme="minorEastAsia" w:eastAsiaTheme="minorEastAsia"/>
                <w:color w:val="000000"/>
                <w:sz w:val="28"/>
                <w:szCs w:val="28"/>
              </w:rPr>
              <w:t>能够准确查询JCR期刊分区和中科院分区以及SCI最新的影响因子</w:t>
            </w:r>
            <w:r>
              <w:rPr>
                <w:rFonts w:hint="eastAsia" w:cs="宋体" w:asciiTheme="minorEastAsia" w:hAnsiTheme="minorEastAsia" w:eastAsiaTheme="minorEastAsia"/>
                <w:color w:val="000000" w:themeColor="text1"/>
                <w:sz w:val="28"/>
                <w:szCs w:val="28"/>
                <w14:textFill>
                  <w14:solidFill>
                    <w14:schemeClr w14:val="tx1"/>
                  </w14:solidFill>
                </w14:textFill>
              </w:rPr>
              <w:t>；能查阅最新的国际期刊预警名单。</w:t>
            </w:r>
          </w:p>
        </w:tc>
      </w:tr>
      <w:tr w14:paraId="5283C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tcBorders>
              <w:tl2br w:val="nil"/>
              <w:tr2bl w:val="nil"/>
            </w:tcBorders>
            <w:vAlign w:val="center"/>
          </w:tcPr>
          <w:p w14:paraId="712D1B28">
            <w:pPr>
              <w:widowControl/>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cs="宋体" w:asciiTheme="minorEastAsia" w:hAnsiTheme="minorEastAsia" w:eastAsiaTheme="minorEastAsia"/>
                <w:b/>
                <w:bCs/>
                <w:color w:val="000000" w:themeColor="text1"/>
                <w:sz w:val="28"/>
                <w:szCs w:val="28"/>
                <w14:textFill>
                  <w14:solidFill>
                    <w14:schemeClr w14:val="tx1"/>
                  </w14:solidFill>
                </w14:textFill>
              </w:rPr>
              <w:t>服务保障</w:t>
            </w:r>
          </w:p>
          <w:p w14:paraId="269F4CAF">
            <w:pPr>
              <w:widowControl/>
              <w:rPr>
                <w:rFonts w:hint="eastAsia" w:cs="宋体" w:asciiTheme="minorEastAsia" w:hAnsiTheme="minorEastAsia" w:eastAsiaTheme="minorEastAsia"/>
                <w:b/>
                <w:bCs/>
                <w:color w:val="000000" w:themeColor="text1"/>
                <w:sz w:val="28"/>
                <w:szCs w:val="28"/>
                <w14:textFill>
                  <w14:solidFill>
                    <w14:schemeClr w14:val="tx1"/>
                  </w14:solidFill>
                </w14:textFill>
              </w:rPr>
            </w:pPr>
          </w:p>
        </w:tc>
        <w:tc>
          <w:tcPr>
            <w:tcW w:w="4230" w:type="pct"/>
            <w:gridSpan w:val="2"/>
            <w:tcBorders>
              <w:tl2br w:val="nil"/>
              <w:tr2bl w:val="nil"/>
            </w:tcBorders>
            <w:shd w:val="clear" w:color="auto" w:fill="auto"/>
            <w:vAlign w:val="center"/>
          </w:tcPr>
          <w:p w14:paraId="649F0058">
            <w:pPr>
              <w:pStyle w:val="7"/>
              <w:spacing w:line="400" w:lineRule="exact"/>
              <w:ind w:firstLine="560" w:firstLineChars="200"/>
              <w:rPr>
                <w:rFonts w:hint="eastAsia" w:cs="宋体" w:asciiTheme="minorEastAsia" w:hAnsiTheme="minorEastAsia" w:eastAsiaTheme="minorEastAsia"/>
                <w:color w:val="000000" w:themeColor="text1"/>
                <w:sz w:val="28"/>
                <w:szCs w:val="28"/>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能在有限时间内获取以上文献的全文，时间越短越好；文献全面且及时更新；若遇到文献不能下载、数据系统损坏等问题时，能在最短时间内解决；职工可在任何时间、任何地点查阅或下载文献资源</w:t>
            </w:r>
            <w:r>
              <w:rPr>
                <w:rFonts w:hint="eastAsia" w:cs="宋体" w:asciiTheme="minorEastAsia" w:hAnsiTheme="minorEastAsia" w:eastAsiaTheme="minorEastAsia"/>
                <w:color w:val="000000" w:themeColor="text1"/>
                <w:sz w:val="28"/>
                <w:szCs w:val="28"/>
                <w:highlight w:val="none"/>
                <w:lang w:eastAsia="zh-CN"/>
                <w14:textFill>
                  <w14:solidFill>
                    <w14:schemeClr w14:val="tx1"/>
                  </w14:solidFill>
                </w14:textFill>
              </w:rPr>
              <w:t>；</w:t>
            </w:r>
          </w:p>
          <w:p w14:paraId="53BBD7AC">
            <w:pPr>
              <w:pStyle w:val="7"/>
              <w:spacing w:line="400" w:lineRule="exact"/>
              <w:ind w:firstLine="560" w:firstLineChars="200"/>
              <w:rPr>
                <w:rFonts w:hint="default" w:cs="宋体" w:asciiTheme="minorEastAsia" w:hAnsiTheme="minorEastAsia" w:eastAsiaTheme="minorEastAsia"/>
                <w:color w:val="000000" w:themeColor="text1"/>
                <w:sz w:val="28"/>
                <w:szCs w:val="28"/>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根据医院各项管理规定，为医院文献使用提供数据分析，包括按日期、科室、文献名称、文献类型提供下载次数、消费金额等数据。服务期不低于1年，服务期限从签订合同之日算起，并要求在服务期内，为医院用户建立、停用账号，且可保证每人一个独立账号。</w:t>
            </w:r>
          </w:p>
        </w:tc>
      </w:tr>
      <w:tr w14:paraId="4E9BA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3" w:hRule="atLeast"/>
          <w:jc w:val="center"/>
        </w:trPr>
        <w:tc>
          <w:tcPr>
            <w:tcW w:w="769" w:type="pct"/>
            <w:tcBorders>
              <w:tl2br w:val="nil"/>
              <w:tr2bl w:val="nil"/>
            </w:tcBorders>
            <w:vAlign w:val="center"/>
          </w:tcPr>
          <w:p w14:paraId="7CAD05B2">
            <w:pPr>
              <w:widowControl/>
              <w:rPr>
                <w:rFonts w:hint="default" w:cs="宋体"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cs="宋体" w:asciiTheme="minorEastAsia" w:hAnsiTheme="minorEastAsia" w:eastAsiaTheme="minorEastAsia"/>
                <w:b/>
                <w:bCs/>
                <w:color w:val="000000" w:themeColor="text1"/>
                <w:sz w:val="28"/>
                <w:szCs w:val="28"/>
                <w:lang w:val="en-US" w:eastAsia="zh-CN"/>
                <w14:textFill>
                  <w14:solidFill>
                    <w14:schemeClr w14:val="tx1"/>
                  </w14:solidFill>
                </w14:textFill>
              </w:rPr>
              <w:t>责任要求</w:t>
            </w:r>
          </w:p>
        </w:tc>
        <w:tc>
          <w:tcPr>
            <w:tcW w:w="4230" w:type="pct"/>
            <w:gridSpan w:val="2"/>
            <w:tcBorders>
              <w:tl2br w:val="nil"/>
              <w:tr2bl w:val="nil"/>
            </w:tcBorders>
            <w:shd w:val="clear" w:color="auto" w:fill="auto"/>
            <w:vAlign w:val="center"/>
          </w:tcPr>
          <w:p w14:paraId="19425340">
            <w:pPr>
              <w:pStyle w:val="7"/>
              <w:spacing w:line="400" w:lineRule="exact"/>
              <w:ind w:firstLine="0" w:firstLineChars="0"/>
              <w:rPr>
                <w:rFonts w:hint="default" w:cs="宋体" w:asciiTheme="minorEastAsia" w:hAnsiTheme="minorEastAsia" w:eastAsiaTheme="minorEastAsia"/>
                <w:color w:val="000000" w:themeColor="text1"/>
                <w:sz w:val="28"/>
                <w:szCs w:val="28"/>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以上文献资源均合法合规，</w:t>
            </w:r>
            <w:r>
              <w:rPr>
                <w:rFonts w:hint="eastAsia" w:cs="宋体" w:asciiTheme="minorEastAsia" w:hAnsiTheme="minorEastAsia" w:eastAsiaTheme="minorEastAsia"/>
                <w:color w:val="000000" w:themeColor="text1"/>
                <w:kern w:val="2"/>
                <w:sz w:val="28"/>
                <w:szCs w:val="28"/>
                <w:highlight w:val="none"/>
                <w:lang w:val="en-US" w:eastAsia="zh-CN" w:bidi="ar-SA"/>
                <w14:textFill>
                  <w14:solidFill>
                    <w14:schemeClr w14:val="tx1"/>
                  </w14:solidFill>
                </w14:textFill>
              </w:rPr>
              <w:t>采购人在中华人民共和国境内使用供应商提供的产品及服务时免受第三方提出的侵犯其专利权或其它知识产权的起诉。如果第三方提出侵权指控，中标供应商应承担由此而引起的一切法律责任和费用。</w:t>
            </w:r>
          </w:p>
        </w:tc>
      </w:tr>
      <w:tr w14:paraId="112FC8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tcBorders>
              <w:tl2br w:val="nil"/>
              <w:tr2bl w:val="nil"/>
            </w:tcBorders>
            <w:vAlign w:val="center"/>
          </w:tcPr>
          <w:p w14:paraId="7A95BAA1">
            <w:pPr>
              <w:widowControl/>
              <w:rPr>
                <w:rFonts w:hint="default" w:cs="宋体"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cs="宋体" w:asciiTheme="minorEastAsia" w:hAnsiTheme="minorEastAsia" w:eastAsiaTheme="minorEastAsia"/>
                <w:b/>
                <w:bCs/>
                <w:color w:val="000000" w:themeColor="text1"/>
                <w:sz w:val="28"/>
                <w:szCs w:val="28"/>
                <w:lang w:val="en-US" w:eastAsia="zh-CN"/>
                <w14:textFill>
                  <w14:solidFill>
                    <w14:schemeClr w14:val="tx1"/>
                  </w14:solidFill>
                </w14:textFill>
              </w:rPr>
              <w:t>其他说明</w:t>
            </w:r>
          </w:p>
        </w:tc>
        <w:tc>
          <w:tcPr>
            <w:tcW w:w="4230" w:type="pct"/>
            <w:gridSpan w:val="2"/>
            <w:tcBorders>
              <w:tl2br w:val="nil"/>
              <w:tr2bl w:val="nil"/>
            </w:tcBorders>
            <w:shd w:val="clear" w:color="auto" w:fill="auto"/>
            <w:vAlign w:val="center"/>
          </w:tcPr>
          <w:p w14:paraId="71A80E51">
            <w:pPr>
              <w:pStyle w:val="7"/>
              <w:spacing w:line="400" w:lineRule="exact"/>
              <w:ind w:firstLine="0" w:firstLineChars="0"/>
              <w:rPr>
                <w:rFonts w:hint="default" w:cs="宋体" w:asciiTheme="minorEastAsia" w:hAnsiTheme="minorEastAsia" w:eastAsiaTheme="minorEastAsia"/>
                <w:color w:val="000000" w:themeColor="text1"/>
                <w:sz w:val="28"/>
                <w:szCs w:val="28"/>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项目中带</w:t>
            </w: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号的为必须满足</w:t>
            </w:r>
          </w:p>
        </w:tc>
      </w:tr>
    </w:tbl>
    <w:p w14:paraId="312C200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W1)">
    <w:altName w:val="Times New Roman"/>
    <w:panose1 w:val="00000000000000000000"/>
    <w:charset w:val="00"/>
    <w:family w:val="roman"/>
    <w:pitch w:val="default"/>
    <w:sig w:usb0="00000000" w:usb1="00000000" w:usb2="00000008" w:usb3="00000000" w:csb0="0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YmZiMzNhYzJhNGNlYTdjY2M1Y2RiZDM1ZDQ2NTMifQ=="/>
  </w:docVars>
  <w:rsids>
    <w:rsidRoot w:val="46866F02"/>
    <w:rsid w:val="00154EC8"/>
    <w:rsid w:val="00224017"/>
    <w:rsid w:val="00701963"/>
    <w:rsid w:val="007D3A64"/>
    <w:rsid w:val="009637DA"/>
    <w:rsid w:val="00AB6DD9"/>
    <w:rsid w:val="00BA1EF2"/>
    <w:rsid w:val="00E3276E"/>
    <w:rsid w:val="00ED5CAD"/>
    <w:rsid w:val="00F36B6F"/>
    <w:rsid w:val="1113040F"/>
    <w:rsid w:val="17FF60CF"/>
    <w:rsid w:val="20831BA0"/>
    <w:rsid w:val="219C5C68"/>
    <w:rsid w:val="23693C6E"/>
    <w:rsid w:val="33244603"/>
    <w:rsid w:val="3D7A4D36"/>
    <w:rsid w:val="433A3C17"/>
    <w:rsid w:val="46866F02"/>
    <w:rsid w:val="4901594B"/>
    <w:rsid w:val="4C7B124F"/>
    <w:rsid w:val="4CB46925"/>
    <w:rsid w:val="4D5A3970"/>
    <w:rsid w:val="51EB564A"/>
    <w:rsid w:val="547C1350"/>
    <w:rsid w:val="592C4D1A"/>
    <w:rsid w:val="5C4F1952"/>
    <w:rsid w:val="5D12243E"/>
    <w:rsid w:val="694F2F58"/>
    <w:rsid w:val="6B106476"/>
    <w:rsid w:val="7133621D"/>
    <w:rsid w:val="72890CC2"/>
    <w:rsid w:val="7661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表格文字"/>
    <w:basedOn w:val="1"/>
    <w:autoRedefine/>
    <w:qFormat/>
    <w:uiPriority w:val="0"/>
    <w:pPr>
      <w:spacing w:beforeLines="25" w:afterLines="25"/>
    </w:pPr>
    <w:rPr>
      <w:rFonts w:ascii="Times New (W1)" w:hAnsi="Times New (W1)"/>
      <w:spacing w:val="10"/>
      <w:szCs w:val="20"/>
    </w:rPr>
  </w:style>
  <w:style w:type="paragraph" w:styleId="7">
    <w:name w:val="List Paragraph"/>
    <w:basedOn w:val="1"/>
    <w:autoRedefine/>
    <w:qFormat/>
    <w:uiPriority w:val="0"/>
    <w:pPr>
      <w:ind w:firstLine="420" w:firstLineChars="200"/>
    </w:pPr>
    <w:rPr>
      <w:rFonts w:ascii="Calibri" w:hAnsi="Calibri"/>
      <w:szCs w:val="22"/>
    </w:rPr>
  </w:style>
  <w:style w:type="character" w:customStyle="1" w:styleId="8">
    <w:name w:val="页眉 字符"/>
    <w:basedOn w:val="5"/>
    <w:link w:val="3"/>
    <w:qFormat/>
    <w:uiPriority w:val="0"/>
    <w:rPr>
      <w:kern w:val="2"/>
      <w:sz w:val="18"/>
      <w:szCs w:val="18"/>
    </w:rPr>
  </w:style>
  <w:style w:type="character" w:customStyle="1" w:styleId="9">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520</Words>
  <Characters>545</Characters>
  <Lines>2</Lines>
  <Paragraphs>1</Paragraphs>
  <TotalTime>0</TotalTime>
  <ScaleCrop>false</ScaleCrop>
  <LinksUpToDate>false</LinksUpToDate>
  <CharactersWithSpaces>547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2024-11-21T10:48:00Z</dcterms:created>
  <dc:creator>20437</dc:creator>
  <cp:lastModifiedBy>WPS_1675046108</cp:lastModifiedBy>
  <cp:lastPrinted>2025-04-14T00:30:10Z</cp:lastPrinted>
  <dcterms:modified xsi:type="dcterms:W3CDTF">2025-04-14T00:31:41Z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7981540DE7984A148B461D2544F837D8_13</vt:lpwstr>
  </property>
  <property fmtid="{D5CDD505-2E9C-101B-9397-08002B2CF9AE}" pid="4" name="KSOTemplateDocerSaveRecord">
    <vt:lpwstr>eyJoZGlkIjoiODNhYmMwNmE1N2NjZjE1NWVlOTVmNDMyYTRhNDJjZDEiLCJ1c2VySWQiOiIxNDcwNjA3MTAzIn0=</vt:lpwstr>
  </property>
</Properties>
</file>