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名称：南溪山医院镜架、成品眼镜采购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项目</w:t>
      </w:r>
      <w:r>
        <w:rPr>
          <w:rFonts w:hint="eastAsia" w:ascii="宋体" w:hAnsi="宋体" w:eastAsia="宋体"/>
          <w:b/>
          <w:sz w:val="36"/>
          <w:szCs w:val="36"/>
        </w:rPr>
        <w:t>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5065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1批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7EFC719A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采购方式：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院内遴选（需遴选8家供应商，如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3家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≤报名供应商数量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＜8家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则遴选参会供应商数量的80%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向下取整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为意向供应商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数量。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）</w:t>
      </w:r>
    </w:p>
    <w:p w14:paraId="38C6B9CC">
      <w:pPr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采购内容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眼科视光中心采购镜架、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成品眼镜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一批</w:t>
      </w:r>
    </w:p>
    <w:p w14:paraId="4B4EC280">
      <w:pP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采购年限：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采购两年</w:t>
      </w:r>
    </w:p>
    <w:p w14:paraId="7A5EEDC7">
      <w:pP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24"/>
          <w:szCs w:val="24"/>
          <w:lang w:val="en-US" w:eastAsia="zh-CN"/>
        </w:rPr>
        <w:t>采购需求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南溪山医院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镜架、成品眼镜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采购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项目中所有报名产品需执行统一的折扣率（明细详见报价单）。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要求铺货并提供畅销款，3个月内损坏包换，质保期内免费维修，不收取任何费用。增值服务（如提供眼镜盒、眼镜布等）及配合院方进行视力筛查服务；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有详细售后服务方案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售后服务体系完善，库存积压超过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个月及以上的，配送方无条件给予免费更换新款。配送时间周期短效率高，常规订货配送无需额外费用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。</w:t>
      </w:r>
    </w:p>
    <w:p w14:paraId="11617BD2">
      <w:pPr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1B6411C5">
      <w:pP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技术参数要求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</w:p>
    <w:tbl>
      <w:tblPr>
        <w:tblStyle w:val="11"/>
        <w:tblW w:w="140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400"/>
        <w:gridCol w:w="9165"/>
      </w:tblGrid>
      <w:tr w14:paraId="7174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CD2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NYZBB-SBK-2025065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南溪山医院镜架、成品眼镜采购</w:t>
            </w:r>
          </w:p>
        </w:tc>
      </w:tr>
      <w:tr w14:paraId="7EA8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4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2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纯钛儿童镜架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3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72219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A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钛合金儿童镜架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72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5461A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A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5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铜合金儿童镜架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59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51782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6E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记忆合金儿童镜架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29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701B4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E53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6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钨钛儿童镜架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DE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6C37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E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塑钢类儿童镜架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3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0C91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7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55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树脂儿童镜架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8A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44E79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F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2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硅胶儿童镜架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5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662D6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1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69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纯钛青少年镜架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8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08E5D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64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NYZBB-SBK-2025065-10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1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钛合金青少年镜架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B4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1BF11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0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NYZBB-SBK-2025065-11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D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铜合金青少年镜架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7D2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7429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F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NYZBB-SBK-2025065-12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记忆合金青少年镜架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5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1A980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A5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NYZBB-SBK-2025065-13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A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钨钛青少年镜架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8F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3CB0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4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NYZBB-SBK-2025065-14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1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塑钢类青少年镜架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B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59774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4D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NYZBB-SBK-2025065-15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9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树脂青少年镜架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69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46D33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F7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NYZBB-SBK-2025065-16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3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硅胶青少年镜架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F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63389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42A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NYZBB-SBK-2025065-17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C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纯钛成人镜架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D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19913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31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NYZBB-SBK-2025065-18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D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钛合金成人镜架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C2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39167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C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NYZBB-SBK-2025065-19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0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铜合金成人镜架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7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7F9D6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C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NYZBB-SBK-2025065-20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1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记忆合金成人镜架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7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51E94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25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NYZBB-SBK-2025065-21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6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钨钛成人镜架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F9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371E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E2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NYZBB-SBK-2025065-22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5A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塑钢类成人镜架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9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409C1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B8A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NYZBB-SBK-2025065-23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D9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树脂成人镜架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0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2FCD48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7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NYZBB-SBK-2025065-24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0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硅胶成人镜架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9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要求铺货，提供畅销款，售后服务要求：3个月内损坏包换，质保期内免费维修，不收取任何费用。增值服务（如提供眼镜盒、眼镜布等）</w:t>
            </w:r>
          </w:p>
        </w:tc>
      </w:tr>
      <w:tr w14:paraId="5A259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5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NYZBB-SBK-2025065-25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老花镜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5A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要求铺货，无忧退换(破损退换率不低于3%）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售后服务要求：3个月内损坏包换，质保期内免费维修，不收取任何费用。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增值服务（如提供眼镜盒、眼镜布等）</w:t>
            </w:r>
          </w:p>
        </w:tc>
      </w:tr>
      <w:tr w14:paraId="3651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4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NYZBB-SBK-2025065-26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2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太阳镜（UV指数：280-400nm）</w:t>
            </w:r>
          </w:p>
        </w:tc>
        <w:tc>
          <w:tcPr>
            <w:tcW w:w="9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220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要求铺货，无忧退换(破损退换率不低于3%）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售后服务要求：3个月内损坏包换，质保期内免费维修，不收取任何费用。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增值服务（如提供眼镜盒、眼镜布等）</w:t>
            </w:r>
          </w:p>
        </w:tc>
      </w:tr>
    </w:tbl>
    <w:p w14:paraId="2F5E964A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449D2B6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4B85B47E"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评分办法：</w:t>
      </w:r>
    </w:p>
    <w:p w14:paraId="714ACB95">
      <w:pPr>
        <w:pStyle w:val="5"/>
        <w:numPr>
          <w:ilvl w:val="0"/>
          <w:numId w:val="1"/>
        </w:numPr>
        <w:spacing w:line="400" w:lineRule="exact"/>
        <w:ind w:firstLine="482" w:firstLineChars="200"/>
        <w:outlineLvl w:val="0"/>
        <w:rPr>
          <w:rFonts w:hint="eastAsia"/>
          <w:sz w:val="24"/>
          <w:szCs w:val="24"/>
        </w:rPr>
      </w:pPr>
      <w:bookmarkStart w:id="0" w:name="_Toc451521578"/>
      <w:bookmarkStart w:id="1" w:name="_Toc3397"/>
      <w:bookmarkStart w:id="2" w:name="_Toc25413"/>
      <w:bookmarkStart w:id="3" w:name="_Toc401396865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对进入详评的，采用百分制综合评分法。</w:t>
      </w:r>
      <w:bookmarkEnd w:id="0"/>
      <w:bookmarkEnd w:id="1"/>
      <w:bookmarkEnd w:id="2"/>
      <w:bookmarkEnd w:id="3"/>
    </w:p>
    <w:p w14:paraId="6E7CA797">
      <w:pPr>
        <w:pStyle w:val="5"/>
        <w:spacing w:line="400" w:lineRule="exact"/>
        <w:ind w:firstLine="482" w:firstLineChars="200"/>
        <w:outlineLvl w:val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4" w:name="_Toc31269"/>
      <w:bookmarkStart w:id="5" w:name="_Toc30928"/>
      <w:bookmarkStart w:id="6" w:name="_Toc451521579"/>
      <w:bookmarkStart w:id="7" w:name="_Toc401396866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计分办法（按四舍五入取至百分位）：</w:t>
      </w:r>
      <w:bookmarkEnd w:id="4"/>
      <w:bookmarkEnd w:id="5"/>
      <w:bookmarkEnd w:id="6"/>
      <w:bookmarkEnd w:id="7"/>
    </w:p>
    <w:p w14:paraId="2152CA4C">
      <w:pPr>
        <w:pStyle w:val="5"/>
        <w:spacing w:line="400" w:lineRule="exact"/>
        <w:ind w:firstLine="458" w:firstLineChars="20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（1）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价格分…………………………………………………………………………………20分</w:t>
      </w:r>
    </w:p>
    <w:p w14:paraId="1F95E5E5">
      <w:pPr>
        <w:pStyle w:val="5"/>
        <w:spacing w:line="400" w:lineRule="exact"/>
        <w:ind w:left="6" w:leftChars="3" w:firstLine="600" w:firstLineChars="250"/>
        <w:jc w:val="left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（1）以进入详评的最高下浮率为20分；</w:t>
      </w:r>
    </w:p>
    <w:p w14:paraId="24AE69D7">
      <w:pPr>
        <w:pStyle w:val="5"/>
        <w:spacing w:line="400" w:lineRule="exact"/>
        <w:ind w:left="6" w:leftChars="3" w:firstLine="600" w:firstLineChars="25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</w:rPr>
        <w:t>（2）价格分计算公式：</w:t>
      </w:r>
    </w:p>
    <w:p w14:paraId="521F22DB">
      <w:pPr>
        <w:pStyle w:val="5"/>
        <w:spacing w:line="400" w:lineRule="exact"/>
        <w:ind w:firstLine="3528" w:firstLineChars="147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1-供应商最高下浮率          </w:t>
      </w:r>
    </w:p>
    <w:p w14:paraId="0F88FA46">
      <w:pPr>
        <w:pStyle w:val="5"/>
        <w:spacing w:line="400" w:lineRule="exact"/>
        <w:ind w:firstLine="600" w:firstLineChars="250"/>
        <w:jc w:val="left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pict>
          <v:line id="直接连接符 1" o:spid="_x0000_s1028" o:spt="20" style="position:absolute;left:0pt;margin-left:118.55pt;margin-top:12.3pt;height:0pt;width:192.75pt;z-index:251659264;mso-width-relative:page;mso-height-relative:page;" filled="f" stroked="t" coordsize="21600,21600" o:gfxdata="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8I9ZO1gAA&#10;AAkBAAAPAAAAAAAAAAEAIAAAACIAAABkcnMvZG93bnJldi54bWxQSwECFAAUAAAACACHTuJAJfPh&#10;hOcBAAC4AwAADgAAAAAAAAABACAAAAAlAQAAZHJzL2Uyb0RvYy54bWxQSwUGAAAAAAYABgBZAQAA&#10;fgUAAAAA&#10;">
            <v:path arrowok="t"/>
            <v:fill on="f" focussize="0,0"/>
            <v:stroke color="#000000" joinstyle="round"/>
            <v:imagedata o:title=""/>
            <o:lock v:ext="edit" aspectratio="f"/>
          </v:line>
        </w:pic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某供应商价格分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=                                        ×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分</w:t>
      </w:r>
    </w:p>
    <w:p w14:paraId="14F60EF9">
      <w:pPr>
        <w:pStyle w:val="5"/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 xml:space="preserve">                           1-某供应商下浮率</w:t>
      </w:r>
    </w:p>
    <w:p w14:paraId="3EA91B22">
      <w:pPr>
        <w:pStyle w:val="4"/>
        <w:bidi w:val="0"/>
        <w:rPr>
          <w:rFonts w:hint="eastAsia"/>
          <w:sz w:val="24"/>
          <w:szCs w:val="24"/>
        </w:rPr>
      </w:pPr>
    </w:p>
    <w:p w14:paraId="7882B56C">
      <w:pPr>
        <w:spacing w:before="166" w:line="400" w:lineRule="exact"/>
        <w:ind w:right="215" w:firstLine="337" w:firstLineChars="147"/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（2）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镜</w:t>
      </w:r>
      <w:r>
        <w:rPr>
          <w:rFonts w:hint="eastAsia" w:asciiTheme="minorEastAsia" w:hAnsiTheme="minorEastAsia" w:cstheme="minorEastAsia"/>
          <w:b/>
          <w:bCs/>
          <w:w w:val="95"/>
          <w:sz w:val="24"/>
          <w:szCs w:val="24"/>
          <w:lang w:val="en-US" w:eastAsia="zh-CN"/>
        </w:rPr>
        <w:t>架、成品眼镜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供货方案分……………………………………………………………………………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4976FAC7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方案一般。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的配送方案不够具体，针对本项目的配送体系与结构不完整，涵盖产品范围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不够全面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人群不够全面、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供应渠道、可满足不同年龄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售后服务体系不完善。</w:t>
      </w:r>
    </w:p>
    <w:p w14:paraId="613083D0">
      <w:pPr>
        <w:spacing w:before="166" w:line="400" w:lineRule="exact"/>
        <w:ind w:right="215" w:firstLine="592" w:firstLineChars="247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分）：方案完整详细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的配送方案具体、可行，有详细的配送情况分析，针对本项目有完整的配送体系与结构，与之对应的相关产品配送保障措施，涵盖产品范围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参考技术要求附件表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）、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产品人群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儿童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青少年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成人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）、供应渠道、可满足不同年龄需求。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售后服务体系完善，且质量可靠售后无忧。</w:t>
      </w:r>
    </w:p>
    <w:p w14:paraId="778DD6D3">
      <w:pPr>
        <w:pStyle w:val="1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1F82F84B"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未提供</w:t>
      </w:r>
      <w:r>
        <w:rPr>
          <w:rFonts w:hint="eastAsia"/>
          <w:sz w:val="24"/>
          <w:szCs w:val="24"/>
          <w:lang w:val="en-US" w:eastAsia="zh-CN"/>
        </w:rPr>
        <w:t>方案</w:t>
      </w:r>
      <w:r>
        <w:rPr>
          <w:rFonts w:hint="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</w:t>
      </w:r>
      <w:r>
        <w:rPr>
          <w:rFonts w:hint="eastAsia"/>
          <w:sz w:val="24"/>
          <w:szCs w:val="24"/>
        </w:rPr>
        <w:t>。</w:t>
      </w:r>
    </w:p>
    <w:p w14:paraId="001A1146">
      <w:pPr>
        <w:pStyle w:val="10"/>
        <w:rPr>
          <w:rFonts w:hint="eastAsia"/>
          <w:sz w:val="24"/>
          <w:szCs w:val="24"/>
        </w:rPr>
      </w:pPr>
    </w:p>
    <w:p w14:paraId="22EBB527">
      <w:pPr>
        <w:spacing w:before="166" w:line="400" w:lineRule="exact"/>
        <w:ind w:right="215" w:firstLine="337" w:firstLineChars="147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）供货经验分…………………………………………………………………………………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2230AF8C">
      <w:pPr>
        <w:spacing w:line="500" w:lineRule="exact"/>
        <w:ind w:firstLine="480" w:firstLineChars="200"/>
        <w:jc w:val="left"/>
        <w:rPr>
          <w:rFonts w:hint="eastAsia" w:asciiTheme="minorEastAsia" w:hAnsi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供应商具有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省级三甲医院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类似合作服务的合同、配送文件、中标通知书等证明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合同执行期不少于1年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每提供1份文件得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分，最多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 w14:paraId="47915B68">
      <w:pPr>
        <w:spacing w:line="50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未提供得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。</w:t>
      </w:r>
    </w:p>
    <w:p w14:paraId="2E6C6E23">
      <w:pPr>
        <w:pStyle w:val="1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10CA07E3">
      <w:pPr>
        <w:spacing w:before="41" w:line="400" w:lineRule="exact"/>
        <w:ind w:right="132" w:firstLine="337" w:firstLineChars="147"/>
        <w:rPr>
          <w:rFonts w:hint="eastAsia" w:asciiTheme="minorEastAsia" w:hAnsiTheme="minorEastAsia" w:eastAsiaTheme="minorEastAsia" w:cstheme="minorEastAsia"/>
          <w:b/>
          <w:bCs/>
          <w:spacing w:val="46"/>
          <w:w w:val="9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产品质量保障及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售后服务方案……………………………………………………………20分</w:t>
      </w:r>
      <w:r>
        <w:rPr>
          <w:rFonts w:hint="eastAsia" w:asciiTheme="minorEastAsia" w:hAnsiTheme="minorEastAsia" w:eastAsiaTheme="minorEastAsia" w:cstheme="minorEastAsia"/>
          <w:b/>
          <w:bCs/>
          <w:spacing w:val="46"/>
          <w:w w:val="99"/>
          <w:sz w:val="24"/>
          <w:szCs w:val="24"/>
        </w:rPr>
        <w:t xml:space="preserve"> </w:t>
      </w:r>
    </w:p>
    <w:p w14:paraId="319D5AC5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一档（5分）：产品不可以铺货销售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产品符合国家标准提供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无忧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售后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1个月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配送时间周期长效率低，常规订货配送大部分需额外收费，不能提供免费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维修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服务。</w:t>
      </w:r>
    </w:p>
    <w:p w14:paraId="7CB00018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二档（10分）：产品可以铺货销售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产品符合国家标准提供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无忧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售后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3个月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，配送时间周期相对短效率相对高，常规订货配送部分需额外收费，能提供免费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维修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服务的比列低。</w:t>
      </w:r>
    </w:p>
    <w:p w14:paraId="07009255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三档（20分)：有详细售后服务方案、实现功能要求的解决方案等售后服务方案详实；售后服务体系完善，售后服务保证措施较得力，产品可以铺货，库存积压超过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个月及以上的，配送方无条件给予免费更换新款。配送时间周期短效率高，常规订货配送无需额外费用，能提供免费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维修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服务。</w:t>
      </w:r>
    </w:p>
    <w:p w14:paraId="04B9A524">
      <w:pPr>
        <w:pStyle w:val="1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F8AB855"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未提供</w:t>
      </w:r>
      <w:r>
        <w:rPr>
          <w:rFonts w:hint="eastAsia"/>
          <w:sz w:val="24"/>
          <w:szCs w:val="24"/>
          <w:lang w:val="en-US" w:eastAsia="zh-CN"/>
        </w:rPr>
        <w:t>方案</w:t>
      </w:r>
      <w:r>
        <w:rPr>
          <w:rFonts w:hint="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</w:t>
      </w:r>
      <w:r>
        <w:rPr>
          <w:rFonts w:hint="eastAsia"/>
          <w:sz w:val="24"/>
          <w:szCs w:val="24"/>
        </w:rPr>
        <w:t>。</w:t>
      </w:r>
    </w:p>
    <w:p w14:paraId="78259E31">
      <w:pPr>
        <w:rPr>
          <w:rFonts w:hint="eastAsia"/>
          <w:sz w:val="24"/>
          <w:szCs w:val="24"/>
        </w:rPr>
      </w:pPr>
    </w:p>
    <w:p w14:paraId="3BFA72DD">
      <w:pPr>
        <w:pStyle w:val="3"/>
        <w:spacing w:line="400" w:lineRule="exact"/>
        <w:ind w:right="215" w:firstLine="337" w:firstLineChars="147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 xml:space="preserve">）人员培训方案分………………………………………………………………………… 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0分</w:t>
      </w:r>
      <w:r>
        <w:rPr>
          <w:rFonts w:hint="eastAsia" w:asciiTheme="minorEastAsia" w:hAnsiTheme="minorEastAsia" w:eastAsiaTheme="minorEastAsia" w:cstheme="minorEastAsia"/>
          <w:b/>
          <w:bCs/>
          <w:spacing w:val="42"/>
          <w:w w:val="99"/>
          <w:sz w:val="24"/>
          <w:szCs w:val="24"/>
        </w:rPr>
        <w:t xml:space="preserve"> </w:t>
      </w:r>
    </w:p>
    <w:p w14:paraId="0565E670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分）：有详细完整的培训计划、培训导师资历高、能提供角膜塑形镜、镜片、镜架、医学验光、近视防控等综合产品知识、验配技术、诊疗沟通技能专业及经验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培训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服务。</w:t>
      </w:r>
    </w:p>
    <w:p w14:paraId="615AC157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分）：有详细完整的培训计划、培训导师资历高、能提供角膜塑形镜、镜片、镜架、医学验光、近视防控等综合产品知识、验配技术、诊疗沟通技能专业及经验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培训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服务，并且能提供线上培训。</w:t>
      </w:r>
    </w:p>
    <w:p w14:paraId="04DA631B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0分）：有详细完整的培训计划、培训导师资历高、能提供角膜塑形镜、镜片、镜架、医学验光、近视防控等综合产品知识、验配技术、诊疗沟通技能专业及经验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培训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服务，能提供线上培训，并且能提供公立医院业内知名专家技术支持及背书。</w:t>
      </w:r>
    </w:p>
    <w:p w14:paraId="2A8A0FB9">
      <w:pPr>
        <w:pStyle w:val="1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4918AF17">
      <w:pPr>
        <w:bidi w:val="0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未提供</w:t>
      </w:r>
      <w:r>
        <w:rPr>
          <w:rFonts w:hint="eastAsia"/>
          <w:sz w:val="24"/>
          <w:szCs w:val="24"/>
          <w:lang w:val="en-US" w:eastAsia="zh-CN"/>
        </w:rPr>
        <w:t>方案</w:t>
      </w:r>
      <w:r>
        <w:rPr>
          <w:rFonts w:hint="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</w:t>
      </w:r>
      <w:r>
        <w:rPr>
          <w:rFonts w:hint="eastAsia"/>
          <w:sz w:val="24"/>
          <w:szCs w:val="24"/>
        </w:rPr>
        <w:t>。</w:t>
      </w:r>
    </w:p>
    <w:p w14:paraId="07441F8D">
      <w:pPr>
        <w:pStyle w:val="10"/>
        <w:rPr>
          <w:rFonts w:hint="eastAsia"/>
          <w:sz w:val="24"/>
          <w:szCs w:val="24"/>
        </w:rPr>
      </w:pPr>
    </w:p>
    <w:p w14:paraId="5301EC9B">
      <w:pPr>
        <w:pStyle w:val="3"/>
        <w:spacing w:before="166" w:line="400" w:lineRule="exact"/>
        <w:ind w:right="130" w:firstLine="449" w:firstLineChars="196"/>
        <w:rPr>
          <w:rFonts w:hint="eastAsia" w:asciiTheme="minorEastAsia" w:hAnsiTheme="minorEastAsia" w:eastAsiaTheme="minorEastAsia" w:cstheme="minorEastAsia"/>
          <w:b/>
          <w:bCs/>
          <w:spacing w:val="42"/>
          <w:w w:val="9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）镜</w:t>
      </w:r>
      <w:r>
        <w:rPr>
          <w:rFonts w:hint="eastAsia" w:asciiTheme="minorEastAsia" w:hAnsiTheme="minorEastAsia" w:cstheme="minorEastAsia"/>
          <w:b/>
          <w:bCs/>
          <w:w w:val="95"/>
          <w:sz w:val="24"/>
          <w:szCs w:val="24"/>
          <w:lang w:val="en-US" w:eastAsia="zh-CN"/>
        </w:rPr>
        <w:t>架、成品眼镜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品牌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分……………………………………………………………………………10分</w:t>
      </w:r>
      <w:r>
        <w:rPr>
          <w:rFonts w:hint="eastAsia" w:asciiTheme="minorEastAsia" w:hAnsiTheme="minorEastAsia" w:eastAsiaTheme="minorEastAsia" w:cstheme="minorEastAsia"/>
          <w:b/>
          <w:bCs/>
          <w:spacing w:val="42"/>
          <w:w w:val="99"/>
          <w:sz w:val="24"/>
          <w:szCs w:val="24"/>
        </w:rPr>
        <w:t xml:space="preserve"> </w:t>
      </w:r>
    </w:p>
    <w:p w14:paraId="471878FF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b/>
          <w:bCs/>
          <w:spacing w:val="42"/>
          <w:w w:val="99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分）：产品品类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≤5个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无省级三甲医院供货证明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，不得分。</w:t>
      </w:r>
    </w:p>
    <w:p w14:paraId="6F543AF7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品类≥5个、＜10个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能提供相关省级三甲医院供货证明；每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提供1家，得1分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满分5分。</w:t>
      </w:r>
    </w:p>
    <w:p w14:paraId="353DBA30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分）：产品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品类≥10个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能提供相关省级三甲医院供货证明；每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提供1家，得1分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满分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分。</w:t>
      </w:r>
    </w:p>
    <w:p w14:paraId="4043C853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投标文件中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合同或发票、发货单等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证明复印件。</w:t>
      </w:r>
    </w:p>
    <w:p w14:paraId="420959C5">
      <w:pPr>
        <w:pStyle w:val="10"/>
        <w:rPr>
          <w:rFonts w:hint="eastAsia"/>
          <w:sz w:val="24"/>
          <w:szCs w:val="24"/>
        </w:rPr>
      </w:pPr>
    </w:p>
    <w:p w14:paraId="7F9EBF8F">
      <w:pPr>
        <w:pStyle w:val="3"/>
        <w:spacing w:before="166" w:line="400" w:lineRule="exact"/>
        <w:ind w:right="130" w:firstLine="458" w:firstLineChars="200"/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）引流方案分………………………………………………………………………………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0827BBE0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引流方案可包含但不限于：优惠活动、礼品赠送、线上线下结合、社交媒体与口碑营销等。</w:t>
      </w:r>
    </w:p>
    <w:p w14:paraId="3249406B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分）：有简单的引流方案、操作性一般，方案基本可行。</w:t>
      </w:r>
    </w:p>
    <w:p w14:paraId="1B7FF66B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分）：有良好的引流方案，操作性较好，方案可行。</w:t>
      </w:r>
    </w:p>
    <w:p w14:paraId="543444D7">
      <w:pPr>
        <w:spacing w:line="400" w:lineRule="exact"/>
        <w:ind w:firstLine="600" w:firstLineChars="25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三档（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分）：有详细的引流方案，宣传渠道多、力度大，操作性高，方案切实可行。</w:t>
      </w:r>
    </w:p>
    <w:p w14:paraId="510FAD5F">
      <w:pPr>
        <w:pStyle w:val="1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3A86E5C">
      <w:pPr>
        <w:bidi w:val="0"/>
        <w:ind w:firstLine="720" w:firstLineChars="3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注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未提供</w:t>
      </w:r>
      <w:r>
        <w:rPr>
          <w:rFonts w:hint="eastAsia"/>
          <w:sz w:val="24"/>
          <w:szCs w:val="24"/>
          <w:lang w:val="en-US" w:eastAsia="zh-CN"/>
        </w:rPr>
        <w:t>方案</w:t>
      </w:r>
      <w:r>
        <w:rPr>
          <w:rFonts w:hint="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分）</w:t>
      </w:r>
      <w:r>
        <w:rPr>
          <w:rFonts w:hint="eastAsia"/>
          <w:sz w:val="24"/>
          <w:szCs w:val="24"/>
        </w:rPr>
        <w:t>。</w:t>
      </w:r>
    </w:p>
    <w:p w14:paraId="24E48041">
      <w:pPr>
        <w:pStyle w:val="10"/>
        <w:rPr>
          <w:rFonts w:hint="eastAsia"/>
          <w:sz w:val="24"/>
          <w:szCs w:val="24"/>
        </w:rPr>
      </w:pPr>
    </w:p>
    <w:p w14:paraId="596EB961">
      <w:pPr>
        <w:pStyle w:val="3"/>
        <w:spacing w:before="166" w:line="400" w:lineRule="exact"/>
        <w:ind w:right="130" w:firstLine="458" w:firstLineChars="200"/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技术驻点分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……………………………………………………………………………10分</w:t>
      </w:r>
    </w:p>
    <w:p w14:paraId="617AB53D">
      <w:pPr>
        <w:pStyle w:val="10"/>
        <w:numPr>
          <w:ilvl w:val="0"/>
          <w:numId w:val="0"/>
        </w:numPr>
        <w:spacing w:line="500" w:lineRule="exact"/>
        <w:ind w:firstLine="696" w:firstLineChars="300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供应商能长期提供1名驻点验配专业技术人员支持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得10分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未提供得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。</w:t>
      </w:r>
    </w:p>
    <w:p w14:paraId="2012A036">
      <w:pPr>
        <w:pStyle w:val="10"/>
        <w:rPr>
          <w:rFonts w:hint="eastAsia"/>
          <w:sz w:val="24"/>
          <w:szCs w:val="24"/>
        </w:rPr>
      </w:pPr>
    </w:p>
    <w:p w14:paraId="70B48FC6">
      <w:pPr>
        <w:pStyle w:val="3"/>
        <w:spacing w:before="166" w:line="400" w:lineRule="exact"/>
        <w:ind w:right="130" w:firstLine="458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设备支持分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52E2DC80">
      <w:pPr>
        <w:pStyle w:val="10"/>
        <w:spacing w:line="500" w:lineRule="exact"/>
        <w:ind w:firstLine="658" w:firstLineChars="284"/>
        <w:rPr>
          <w:rFonts w:hint="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供应商每年提供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近视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筛查设备及技术支持（电脑验光仪、视力灯箱），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得5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  <w:r>
        <w:rPr>
          <w:rFonts w:hint="eastAsia"/>
          <w:sz w:val="24"/>
          <w:szCs w:val="24"/>
        </w:rPr>
        <w:t>未提供得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。</w:t>
      </w:r>
    </w:p>
    <w:p w14:paraId="68679D36">
      <w:pPr>
        <w:pStyle w:val="4"/>
        <w:bidi w:val="0"/>
        <w:rPr>
          <w:rFonts w:hint="eastAsia"/>
          <w:sz w:val="24"/>
          <w:szCs w:val="24"/>
          <w:lang w:eastAsia="zh-CN"/>
        </w:rPr>
      </w:pPr>
    </w:p>
    <w:p w14:paraId="106FFA7A">
      <w:pPr>
        <w:pStyle w:val="3"/>
        <w:spacing w:before="166" w:line="400" w:lineRule="exact"/>
        <w:ind w:right="130" w:firstLine="458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运营经验分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……………………………………………………………………………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b/>
          <w:bCs/>
          <w:w w:val="95"/>
          <w:sz w:val="24"/>
          <w:szCs w:val="24"/>
        </w:rPr>
        <w:t>分</w:t>
      </w:r>
    </w:p>
    <w:p w14:paraId="6431F756">
      <w:pPr>
        <w:spacing w:line="500" w:lineRule="exac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有公立医院开视光中心整体运营规划管理经验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每提供1家，得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</w:p>
    <w:p w14:paraId="612347FF">
      <w:pPr>
        <w:spacing w:line="40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投标文件中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合同或中标证明，加上视光中心局部照片等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；</w:t>
      </w:r>
      <w:r>
        <w:rPr>
          <w:rFonts w:hint="eastAsia"/>
          <w:sz w:val="24"/>
          <w:szCs w:val="24"/>
        </w:rPr>
        <w:t>未提供得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</w:t>
      </w:r>
      <w:r>
        <w:rPr>
          <w:rFonts w:hint="eastAsia"/>
          <w:sz w:val="24"/>
          <w:szCs w:val="24"/>
        </w:rPr>
        <w:t>。</w:t>
      </w:r>
    </w:p>
    <w:p w14:paraId="47ED4D43">
      <w:pPr>
        <w:bidi w:val="0"/>
        <w:rPr>
          <w:rFonts w:hint="eastAsia"/>
          <w:sz w:val="24"/>
          <w:szCs w:val="24"/>
          <w:lang w:val="en-US" w:eastAsia="zh-CN"/>
        </w:rPr>
      </w:pPr>
    </w:p>
    <w:p w14:paraId="34EC2B79">
      <w:pPr>
        <w:pStyle w:val="5"/>
        <w:spacing w:line="400" w:lineRule="exact"/>
        <w:ind w:firstLine="482" w:firstLineChars="20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评标委员会将根据总得分由高到低排列次序（得分相同时，以投标报价由低到高顺序排列；得分相同且投标报价相同的，按技术指标优劣顺序排列）并推荐中标候选人。采购人应当确定评审委员会推荐排名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>前</w:t>
      </w:r>
      <w:r>
        <w:rPr>
          <w:rFonts w:hint="eastAsia" w:asciiTheme="minorEastAsia" w:hAnsiTheme="minorEastAsia" w:cstheme="minorEastAsia"/>
          <w:b/>
          <w:bCs/>
          <w:kern w:val="0"/>
          <w:sz w:val="24"/>
          <w:szCs w:val="24"/>
          <w:u w:val="single"/>
          <w:lang w:val="en-US" w:eastAsia="zh-CN"/>
        </w:rPr>
        <w:t>八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的中标候选人为中标供应商。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如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  <w:t>中标候选人放弃中标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lang w:val="en-US" w:eastAsia="zh-CN"/>
        </w:rPr>
        <w:t>则按评分高低顺延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</w:rPr>
        <w:t>。</w:t>
      </w:r>
    </w:p>
    <w:p w14:paraId="2199591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8" w:name="_GoBack"/>
      <w:bookmarkEnd w:id="8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B00EE">
    <w:pPr>
      <w:pStyle w:val="6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2FA34650">
                <w:pPr>
                  <w:pStyle w:val="6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7"/>
      <w:pBdr>
        <w:bottom w:val="none" w:color="auto" w:sz="0" w:space="1"/>
      </w:pBdr>
    </w:pPr>
  </w:p>
  <w:p w14:paraId="5A66576F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0D8B95"/>
    <w:multiLevelType w:val="singleLevel"/>
    <w:tmpl w:val="3E0D8B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A11279"/>
    <w:rsid w:val="07B81B6D"/>
    <w:rsid w:val="07E60B27"/>
    <w:rsid w:val="07EE3CFB"/>
    <w:rsid w:val="07F14F50"/>
    <w:rsid w:val="07F25F78"/>
    <w:rsid w:val="0822382B"/>
    <w:rsid w:val="09151F1E"/>
    <w:rsid w:val="09C90A2F"/>
    <w:rsid w:val="09F82BD8"/>
    <w:rsid w:val="0BCB720C"/>
    <w:rsid w:val="0BFE313E"/>
    <w:rsid w:val="0C3A4FE9"/>
    <w:rsid w:val="0E463ABF"/>
    <w:rsid w:val="0EC306ED"/>
    <w:rsid w:val="0EEF6D6E"/>
    <w:rsid w:val="10CF5B6E"/>
    <w:rsid w:val="11830882"/>
    <w:rsid w:val="11D17ED8"/>
    <w:rsid w:val="120B3AEF"/>
    <w:rsid w:val="122E5DFF"/>
    <w:rsid w:val="12597AE2"/>
    <w:rsid w:val="129A0FDE"/>
    <w:rsid w:val="12E82E96"/>
    <w:rsid w:val="12FB5DA0"/>
    <w:rsid w:val="137151BF"/>
    <w:rsid w:val="1379278A"/>
    <w:rsid w:val="142C2C0E"/>
    <w:rsid w:val="14800488"/>
    <w:rsid w:val="14895A12"/>
    <w:rsid w:val="14E663F7"/>
    <w:rsid w:val="151E03AD"/>
    <w:rsid w:val="15875F52"/>
    <w:rsid w:val="15E806E1"/>
    <w:rsid w:val="162F2EF2"/>
    <w:rsid w:val="1658332D"/>
    <w:rsid w:val="18A137CE"/>
    <w:rsid w:val="198E16E5"/>
    <w:rsid w:val="1A295685"/>
    <w:rsid w:val="1A935399"/>
    <w:rsid w:val="1AFD55F7"/>
    <w:rsid w:val="1C3C313A"/>
    <w:rsid w:val="1C6A58C9"/>
    <w:rsid w:val="1D8316F5"/>
    <w:rsid w:val="1E944C8E"/>
    <w:rsid w:val="1F1D7927"/>
    <w:rsid w:val="203C5455"/>
    <w:rsid w:val="20503FE2"/>
    <w:rsid w:val="21AA129F"/>
    <w:rsid w:val="22342FBD"/>
    <w:rsid w:val="24C67B71"/>
    <w:rsid w:val="257F78DA"/>
    <w:rsid w:val="25AD5ED9"/>
    <w:rsid w:val="268838D8"/>
    <w:rsid w:val="26C01E86"/>
    <w:rsid w:val="27BF04F5"/>
    <w:rsid w:val="2A8C0727"/>
    <w:rsid w:val="2B316BDF"/>
    <w:rsid w:val="2B852ADC"/>
    <w:rsid w:val="2C2B5431"/>
    <w:rsid w:val="2C441138"/>
    <w:rsid w:val="2C9D0835"/>
    <w:rsid w:val="2CB52F4D"/>
    <w:rsid w:val="2D446048"/>
    <w:rsid w:val="2E2319FE"/>
    <w:rsid w:val="2E6B420B"/>
    <w:rsid w:val="2F8817E4"/>
    <w:rsid w:val="30E3277E"/>
    <w:rsid w:val="314500CD"/>
    <w:rsid w:val="31833AED"/>
    <w:rsid w:val="31AB42A8"/>
    <w:rsid w:val="31CC5263"/>
    <w:rsid w:val="31EF3421"/>
    <w:rsid w:val="343A08A1"/>
    <w:rsid w:val="346017FC"/>
    <w:rsid w:val="35F941BF"/>
    <w:rsid w:val="37D34534"/>
    <w:rsid w:val="389A1AD2"/>
    <w:rsid w:val="39555054"/>
    <w:rsid w:val="395F289E"/>
    <w:rsid w:val="3A777A93"/>
    <w:rsid w:val="3ACD3F0C"/>
    <w:rsid w:val="3BA40065"/>
    <w:rsid w:val="3C5E6167"/>
    <w:rsid w:val="3DC63DD4"/>
    <w:rsid w:val="3E1F291C"/>
    <w:rsid w:val="3E5327FA"/>
    <w:rsid w:val="408178BE"/>
    <w:rsid w:val="40B57568"/>
    <w:rsid w:val="41A64D43"/>
    <w:rsid w:val="41E1690C"/>
    <w:rsid w:val="421E65B4"/>
    <w:rsid w:val="425C3523"/>
    <w:rsid w:val="4307060E"/>
    <w:rsid w:val="43B558CD"/>
    <w:rsid w:val="443A1C83"/>
    <w:rsid w:val="443E0139"/>
    <w:rsid w:val="44E34970"/>
    <w:rsid w:val="4612772E"/>
    <w:rsid w:val="46651DB1"/>
    <w:rsid w:val="46EE4FD8"/>
    <w:rsid w:val="47AA2BDE"/>
    <w:rsid w:val="48A13641"/>
    <w:rsid w:val="48CA7C39"/>
    <w:rsid w:val="49DF7DA8"/>
    <w:rsid w:val="4A080708"/>
    <w:rsid w:val="4AE478DC"/>
    <w:rsid w:val="4BAC736E"/>
    <w:rsid w:val="4D797130"/>
    <w:rsid w:val="4DC55179"/>
    <w:rsid w:val="4F5355E3"/>
    <w:rsid w:val="4F6168FA"/>
    <w:rsid w:val="500A0693"/>
    <w:rsid w:val="503206B3"/>
    <w:rsid w:val="507C07EB"/>
    <w:rsid w:val="51984BC8"/>
    <w:rsid w:val="523B0FB2"/>
    <w:rsid w:val="528C1291"/>
    <w:rsid w:val="52AC28C2"/>
    <w:rsid w:val="54E36DB4"/>
    <w:rsid w:val="54F00DE8"/>
    <w:rsid w:val="558673D7"/>
    <w:rsid w:val="566248C5"/>
    <w:rsid w:val="56A95510"/>
    <w:rsid w:val="577F3F4E"/>
    <w:rsid w:val="57837F9B"/>
    <w:rsid w:val="58913E19"/>
    <w:rsid w:val="58AA2E8C"/>
    <w:rsid w:val="58FC1D80"/>
    <w:rsid w:val="5A276988"/>
    <w:rsid w:val="5A652BEC"/>
    <w:rsid w:val="5AA4449A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426F90"/>
    <w:rsid w:val="5EBA113D"/>
    <w:rsid w:val="5EED0FE7"/>
    <w:rsid w:val="60AF592A"/>
    <w:rsid w:val="612B420C"/>
    <w:rsid w:val="61AD3BB7"/>
    <w:rsid w:val="62473119"/>
    <w:rsid w:val="634E31D8"/>
    <w:rsid w:val="669F62C6"/>
    <w:rsid w:val="67E1286C"/>
    <w:rsid w:val="6A3F27B5"/>
    <w:rsid w:val="6AAB0F10"/>
    <w:rsid w:val="6B1E5923"/>
    <w:rsid w:val="6C5B6498"/>
    <w:rsid w:val="6D374CDD"/>
    <w:rsid w:val="6E6C2921"/>
    <w:rsid w:val="6E893313"/>
    <w:rsid w:val="6F1951F7"/>
    <w:rsid w:val="7064042F"/>
    <w:rsid w:val="70726943"/>
    <w:rsid w:val="73A1489D"/>
    <w:rsid w:val="73DE2356"/>
    <w:rsid w:val="74887379"/>
    <w:rsid w:val="74DD616A"/>
    <w:rsid w:val="75B01B84"/>
    <w:rsid w:val="75EF084A"/>
    <w:rsid w:val="769B008A"/>
    <w:rsid w:val="76A07D97"/>
    <w:rsid w:val="76F973A4"/>
    <w:rsid w:val="76FF4669"/>
    <w:rsid w:val="77DE74AD"/>
    <w:rsid w:val="79580A93"/>
    <w:rsid w:val="797773A6"/>
    <w:rsid w:val="7A1B7E60"/>
    <w:rsid w:val="7B0F7299"/>
    <w:rsid w:val="7BF250D4"/>
    <w:rsid w:val="7C321491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Body Text Indent"/>
    <w:basedOn w:val="1"/>
    <w:next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ody Text First Indent 2"/>
    <w:basedOn w:val="4"/>
    <w:next w:val="1"/>
    <w:unhideWhenUsed/>
    <w:qFormat/>
    <w:uiPriority w:val="99"/>
    <w:pPr>
      <w:ind w:firstLine="0"/>
    </w:pPr>
    <w:rPr>
      <w:rFonts w:hint="eastAsia" w:ascii="Times New Roman" w:hAnsi="Times New Roman"/>
      <w:sz w:val="22"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0"/>
    <w:rPr>
      <w:i/>
    </w:rPr>
  </w:style>
  <w:style w:type="paragraph" w:customStyle="1" w:styleId="15">
    <w:name w:val="首行缩进"/>
    <w:basedOn w:val="1"/>
    <w:qFormat/>
    <w:uiPriority w:val="0"/>
    <w:pPr>
      <w:ind w:firstLine="480" w:firstLineChars="200"/>
    </w:pPr>
  </w:style>
  <w:style w:type="paragraph" w:customStyle="1" w:styleId="16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7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8">
    <w:name w:val="页眉 字符"/>
    <w:basedOn w:val="13"/>
    <w:link w:val="7"/>
    <w:autoRedefine/>
    <w:semiHidden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6"/>
    <w:autoRedefine/>
    <w:semiHidden/>
    <w:qFormat/>
    <w:uiPriority w:val="99"/>
    <w:rPr>
      <w:sz w:val="18"/>
      <w:szCs w:val="18"/>
    </w:rPr>
  </w:style>
  <w:style w:type="paragraph" w:styleId="20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21">
    <w:name w:val="font61"/>
    <w:basedOn w:val="13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22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3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4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font11"/>
    <w:basedOn w:val="1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 textRotate="1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3843</Words>
  <Characters>4393</Characters>
  <Lines>18</Lines>
  <Paragraphs>5</Paragraphs>
  <TotalTime>48</TotalTime>
  <ScaleCrop>false</ScaleCrop>
  <LinksUpToDate>false</LinksUpToDate>
  <CharactersWithSpaces>4494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2025-05-30T07:11:01Z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