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项目45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水处理设备维修服务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项目46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骨科四肢牵引架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A6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F6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项目47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1C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手术器械一批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08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3A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0DA86234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项目45：</w:t>
      </w:r>
      <w:r>
        <w:rPr>
          <w:rFonts w:hint="eastAsia"/>
          <w:sz w:val="21"/>
          <w:szCs w:val="21"/>
          <w:lang w:val="en-US" w:eastAsia="zh-CN"/>
        </w:rPr>
        <w:t>水处理设备维修服务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6F8ED343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项目名称：水处理设备维修服务采购。</w:t>
      </w:r>
    </w:p>
    <w:p w14:paraId="700CF7E0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项目内容：对血透室金宝水处理设备进行维修，维修内容为更换水处理反渗透膜和预处理软管更换。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317"/>
        <w:gridCol w:w="3633"/>
        <w:gridCol w:w="867"/>
        <w:gridCol w:w="769"/>
      </w:tblGrid>
      <w:tr w14:paraId="6FF5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2FF2C8C5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317" w:type="dxa"/>
            <w:vAlign w:val="center"/>
          </w:tcPr>
          <w:p w14:paraId="71CBB993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屏幕型号</w:t>
            </w:r>
          </w:p>
        </w:tc>
        <w:tc>
          <w:tcPr>
            <w:tcW w:w="3633" w:type="dxa"/>
            <w:vAlign w:val="center"/>
          </w:tcPr>
          <w:p w14:paraId="568CCE4C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故障问题描述</w:t>
            </w:r>
          </w:p>
        </w:tc>
        <w:tc>
          <w:tcPr>
            <w:tcW w:w="867" w:type="dxa"/>
            <w:vAlign w:val="center"/>
          </w:tcPr>
          <w:p w14:paraId="C02A7A01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69" w:type="dxa"/>
            <w:vAlign w:val="center"/>
          </w:tcPr>
          <w:p w14:paraId="CA1392F2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</w:t>
            </w:r>
          </w:p>
        </w:tc>
      </w:tr>
      <w:tr w14:paraId="9920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8E2355D2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17" w:type="dxa"/>
            <w:vAlign w:val="center"/>
          </w:tcPr>
          <w:p w14:paraId="2B9F6E7E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反渗透膜</w:t>
            </w:r>
          </w:p>
          <w:p w14:paraId="0A846C3A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4040+4021</w:t>
            </w:r>
          </w:p>
        </w:tc>
        <w:tc>
          <w:tcPr>
            <w:tcW w:w="3633" w:type="dxa"/>
            <w:vAlign w:val="center"/>
          </w:tcPr>
          <w:p w14:paraId="C2AFA9DF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水处理设备反渗透膜老化，导致产水电导率升高，产水量不足，影响血透室正常运行。</w:t>
            </w:r>
          </w:p>
        </w:tc>
        <w:tc>
          <w:tcPr>
            <w:tcW w:w="867" w:type="dxa"/>
            <w:vAlign w:val="center"/>
          </w:tcPr>
          <w:p w14:paraId="78D5019F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69" w:type="dxa"/>
            <w:vAlign w:val="center"/>
          </w:tcPr>
          <w:p w14:paraId="ACEC336A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</w:t>
            </w:r>
          </w:p>
        </w:tc>
      </w:tr>
    </w:tbl>
    <w:p w14:paraId="6CD005B5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1、投标人在桂林市至少有5家血透室水处理用户，投标人须有二类器械生产许可证或者经营许可证。</w:t>
      </w:r>
    </w:p>
    <w:p w14:paraId="F4BE1A13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2、供应商需在合同签订后， 7个工作日内完成维修。</w:t>
      </w:r>
    </w:p>
    <w:p w14:paraId="37BFDAE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3、维修质量：需确保维修后的水机能够正常运行，满足科室血透机用水，且水质达标。</w:t>
      </w:r>
    </w:p>
    <w:p w14:paraId="391AB44A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4、反渗透膜须使用设备原厂同品牌（美国陶氏化学公司，反渗透膜型号：4040和4021），需提供相应的报关单等纸质证明。</w:t>
      </w:r>
    </w:p>
    <w:p w14:paraId="EEAED855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5、需提供7×24小时的技术支持服务，及时解决维修过程中出现的问题。</w:t>
      </w:r>
    </w:p>
    <w:p w14:paraId="7610CFA0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6、报价需包含维修服务费、备件费、人工费、交通费等所有费用。</w:t>
      </w:r>
    </w:p>
    <w:p w14:paraId="2AE72B3D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7、售后服务：提供不低于12个月的免费维保服务。</w:t>
      </w:r>
    </w:p>
    <w:p w14:paraId="2D4A2B69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项目46：</w:t>
      </w:r>
      <w:r>
        <w:rPr>
          <w:rFonts w:hint="eastAsia"/>
          <w:sz w:val="21"/>
          <w:szCs w:val="21"/>
          <w:lang w:val="en-US" w:eastAsia="zh-CN"/>
        </w:rPr>
        <w:t>骨科四肢牵引架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拟购数量：1</w:t>
      </w:r>
    </w:p>
    <w:p w14:paraId="7B8B3D38">
      <w:pPr>
        <w:pStyle w:val="7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0ECEE558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一、核心功能要求  </w:t>
      </w:r>
    </w:p>
    <w:p w14:paraId="08DEE90E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1. 微创牵引功能  </w:t>
      </w:r>
    </w:p>
    <w:p w14:paraId="07BB1A30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用于四肢骨折微创牵引，全面替代传统牵引床；  </w:t>
      </w:r>
    </w:p>
    <w:p w14:paraId="062C482D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支持股骨、胫骨近端、远端及骨干骨折的多部位微创复位。   </w:t>
      </w:r>
    </w:p>
    <w:p w14:paraId="1B967A42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2. 智能牵引调节系统  </w:t>
      </w:r>
    </w:p>
    <w:p w14:paraId="7D0065E8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牵引范围：  </w:t>
      </w:r>
    </w:p>
    <w:p w14:paraId="3AB39A7C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股骨形态：290–750mm  </w:t>
      </w:r>
    </w:p>
    <w:p w14:paraId="1A845AF4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胫骨形态：290–650mm  </w:t>
      </w:r>
    </w:p>
    <w:p w14:paraId="796A7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牵引力控制：≤300 N（避免过载损伤）  </w:t>
      </w:r>
    </w:p>
    <w:p w14:paraId="4CC36FAB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位移精度：伸缩移位/牵引位移均≤200 mm  </w:t>
      </w:r>
    </w:p>
    <w:p w14:paraId="00793A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二、人体工学设计  </w:t>
      </w:r>
    </w:p>
    <w:p w14:paraId="6BA725F3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1. 多形态适配结构  </w:t>
      </w:r>
    </w:p>
    <w:p w14:paraId="47EEE287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尺寸规格：  </w:t>
      </w:r>
    </w:p>
    <w:p w14:paraId="531B3B46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股骨形态：485mm × 265mm × 70mm  </w:t>
      </w:r>
    </w:p>
    <w:p w14:paraId="65B8AFBF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胫骨形态：485mm × 265mm × 190mm  </w:t>
      </w:r>
    </w:p>
    <w:p w14:paraId="502AF07B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通用性：股骨与胫骨通用设计，支持术中快速切换。 </w:t>
      </w:r>
    </w:p>
    <w:p w14:paraId="54389CE6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2. 可调式固定系统  </w:t>
      </w:r>
    </w:p>
    <w:p w14:paraId="09A6CCC7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外固定支具：  </w:t>
      </w:r>
    </w:p>
    <w:p w14:paraId="7CB7F264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长度≥700 mm（碳纤维材质，全段X光可透）；  </w:t>
      </w:r>
    </w:p>
    <w:p w14:paraId="4735B5B0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张口宽度：最小≤120 mm，最大≥200 mm，提供至少两种形态支具。  </w:t>
      </w:r>
    </w:p>
    <w:p w14:paraId="0DFD8F8D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角度调节：术中可动态调整肢体屈伸/旋转角度，股骨支持单轴双牵引模式。  </w:t>
      </w:r>
    </w:p>
    <w:p w14:paraId="7869DA1C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3. 核心材质  </w:t>
      </w:r>
    </w:p>
    <w:p w14:paraId="088A8D96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主体采用05Cr17Ni4Cu4Nb不锈钢+碳纤维复合结构，兼具强度与射线可透性。  </w:t>
      </w:r>
    </w:p>
    <w:p w14:paraId="4AE2228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股骨近端固定点：髂前下棘支撑位，支持360°旋转锁定。 </w:t>
      </w:r>
    </w:p>
    <w:p w14:paraId="2A98362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bookmarkStart w:id="0" w:name="_GoBack"/>
      <w:bookmarkEnd w:id="0"/>
    </w:p>
    <w:p w14:paraId="3922223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项目47：</w:t>
      </w:r>
      <w:r>
        <w:rPr>
          <w:rFonts w:hint="eastAsia"/>
          <w:sz w:val="21"/>
          <w:szCs w:val="21"/>
          <w:lang w:val="en-US" w:eastAsia="zh-CN"/>
        </w:rPr>
        <w:t>手术器械一批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拟购数量：1</w:t>
      </w:r>
    </w:p>
    <w:p w14:paraId="3A6CB6C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20446B7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694045" cy="2360295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20660894"/>
    <w:rsid w:val="2498752D"/>
    <w:rsid w:val="3EDB6E11"/>
    <w:rsid w:val="4076252B"/>
    <w:rsid w:val="4FDC4C7A"/>
    <w:rsid w:val="59B657E5"/>
    <w:rsid w:val="5AAC2DB3"/>
    <w:rsid w:val="5B23001A"/>
    <w:rsid w:val="5B235C95"/>
    <w:rsid w:val="631D684B"/>
    <w:rsid w:val="66887565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8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1061</Characters>
  <Lines>0</Lines>
  <Paragraphs>0</Paragraphs>
  <TotalTime>1</TotalTime>
  <ScaleCrop>false</ScaleCrop>
  <LinksUpToDate>false</LinksUpToDate>
  <CharactersWithSpaces>1102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2025-07-10T02:03:54Z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