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名称：外检车载DR租赁服务</w:t>
      </w:r>
    </w:p>
    <w:p w14:paraId="2273515F">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w:t>
      </w:r>
      <w:r>
        <w:rPr>
          <w:rFonts w:hint="eastAsia" w:ascii="宋体" w:hAnsi="宋体" w:eastAsia="宋体"/>
          <w:b/>
          <w:sz w:val="36"/>
          <w:szCs w:val="36"/>
          <w:lang w:val="en-US" w:eastAsia="zh-CN"/>
        </w:rPr>
        <w:t>5088</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1项</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6E6D76CE">
      <w:pPr>
        <w:spacing w:line="360" w:lineRule="auto"/>
        <w:rPr>
          <w:rFonts w:hint="default" w:eastAsia="宋体"/>
          <w:sz w:val="24"/>
          <w:lang w:val="en-US" w:eastAsia="zh-CN"/>
        </w:rPr>
      </w:pPr>
      <w:r>
        <w:rPr>
          <w:rFonts w:hint="eastAsia"/>
          <w:sz w:val="24"/>
        </w:rPr>
        <w:t>一</w:t>
      </w:r>
      <w:r>
        <w:rPr>
          <w:rFonts w:hint="eastAsia"/>
          <w:sz w:val="24"/>
          <w:lang w:eastAsia="zh-CN"/>
        </w:rPr>
        <w:t>、</w:t>
      </w:r>
      <w:r>
        <w:rPr>
          <w:rFonts w:hint="eastAsia"/>
          <w:sz w:val="24"/>
        </w:rPr>
        <w:t>车辆使用地址：</w:t>
      </w:r>
      <w:r>
        <w:rPr>
          <w:rFonts w:hint="eastAsia"/>
          <w:sz w:val="24"/>
          <w:lang w:val="en-US" w:eastAsia="zh-CN"/>
        </w:rPr>
        <w:t>根据医院工作安排，由院方指定使用位置。</w:t>
      </w:r>
    </w:p>
    <w:p w14:paraId="6B791936">
      <w:pPr>
        <w:pStyle w:val="2"/>
        <w:ind w:firstLine="0"/>
        <w:rPr>
          <w:sz w:val="24"/>
          <w:szCs w:val="24"/>
        </w:rPr>
      </w:pPr>
      <w:r>
        <w:rPr>
          <w:rFonts w:hint="eastAsia"/>
          <w:sz w:val="24"/>
          <w:szCs w:val="24"/>
        </w:rPr>
        <w:t>二</w:t>
      </w:r>
      <w:r>
        <w:rPr>
          <w:rFonts w:hint="eastAsia"/>
          <w:sz w:val="24"/>
          <w:szCs w:val="24"/>
          <w:lang w:eastAsia="zh-CN"/>
        </w:rPr>
        <w:t>、</w:t>
      </w:r>
      <w:r>
        <w:rPr>
          <w:rFonts w:hint="eastAsia"/>
          <w:sz w:val="24"/>
          <w:szCs w:val="24"/>
        </w:rPr>
        <w:t>车辆使用时间：2025年9月</w:t>
      </w:r>
      <w:r>
        <w:rPr>
          <w:rFonts w:hint="default"/>
          <w:sz w:val="24"/>
          <w:szCs w:val="24"/>
          <w:lang w:val="en-US"/>
        </w:rPr>
        <w:t>0</w:t>
      </w:r>
      <w:r>
        <w:rPr>
          <w:rFonts w:hint="eastAsia"/>
          <w:sz w:val="24"/>
          <w:szCs w:val="24"/>
          <w:lang w:val="en-US" w:eastAsia="zh-CN"/>
        </w:rPr>
        <w:t>1</w:t>
      </w:r>
      <w:r>
        <w:rPr>
          <w:rFonts w:hint="eastAsia"/>
          <w:sz w:val="24"/>
          <w:szCs w:val="24"/>
        </w:rPr>
        <w:t>日-2025年9月</w:t>
      </w:r>
      <w:r>
        <w:rPr>
          <w:rFonts w:hint="default"/>
          <w:sz w:val="24"/>
          <w:szCs w:val="24"/>
          <w:lang w:val="en-US"/>
        </w:rPr>
        <w:t>20</w:t>
      </w:r>
      <w:r>
        <w:rPr>
          <w:rFonts w:hint="eastAsia"/>
          <w:sz w:val="24"/>
          <w:szCs w:val="24"/>
        </w:rPr>
        <w:t>日，共计</w:t>
      </w:r>
      <w:r>
        <w:rPr>
          <w:rFonts w:hint="eastAsia"/>
          <w:sz w:val="24"/>
          <w:szCs w:val="24"/>
          <w:lang w:val="en-US" w:eastAsia="zh-CN"/>
        </w:rPr>
        <w:t>20</w:t>
      </w:r>
      <w:r>
        <w:rPr>
          <w:rFonts w:hint="eastAsia"/>
          <w:sz w:val="24"/>
          <w:szCs w:val="24"/>
        </w:rPr>
        <w:t>天，</w:t>
      </w:r>
    </w:p>
    <w:p w14:paraId="36890CBC">
      <w:pPr>
        <w:pStyle w:val="2"/>
        <w:ind w:firstLine="0"/>
        <w:rPr>
          <w:rFonts w:hint="eastAsia"/>
          <w:sz w:val="24"/>
          <w:szCs w:val="24"/>
        </w:rPr>
      </w:pPr>
      <w:r>
        <w:rPr>
          <w:rFonts w:hint="eastAsia"/>
          <w:sz w:val="24"/>
          <w:szCs w:val="24"/>
        </w:rPr>
        <w:t>三</w:t>
      </w:r>
      <w:r>
        <w:rPr>
          <w:rFonts w:hint="eastAsia"/>
          <w:sz w:val="24"/>
          <w:szCs w:val="24"/>
          <w:lang w:eastAsia="zh-CN"/>
        </w:rPr>
        <w:t>、</w:t>
      </w:r>
      <w:r>
        <w:rPr>
          <w:rFonts w:hint="eastAsia"/>
          <w:sz w:val="24"/>
          <w:szCs w:val="24"/>
        </w:rPr>
        <w:t>要求数量：必须同时提供</w:t>
      </w:r>
      <w:r>
        <w:rPr>
          <w:rFonts w:hint="default"/>
          <w:sz w:val="24"/>
          <w:szCs w:val="24"/>
          <w:lang w:val="en-US"/>
        </w:rPr>
        <w:t>2</w:t>
      </w:r>
      <w:r>
        <w:rPr>
          <w:rFonts w:hint="eastAsia"/>
          <w:sz w:val="24"/>
          <w:szCs w:val="24"/>
        </w:rPr>
        <w:t>台体检车</w:t>
      </w:r>
      <w:r>
        <w:rPr>
          <w:rFonts w:hint="eastAsia"/>
          <w:sz w:val="24"/>
          <w:szCs w:val="24"/>
          <w:lang w:eastAsia="zh-CN"/>
        </w:rPr>
        <w:t>。</w:t>
      </w:r>
    </w:p>
    <w:p w14:paraId="651B7801">
      <w:pPr>
        <w:pStyle w:val="2"/>
        <w:ind w:firstLine="0"/>
        <w:rPr>
          <w:rFonts w:hint="eastAsia"/>
          <w:sz w:val="24"/>
          <w:szCs w:val="24"/>
        </w:rPr>
      </w:pPr>
      <w:r>
        <w:rPr>
          <w:rFonts w:hint="eastAsia"/>
          <w:sz w:val="24"/>
          <w:szCs w:val="24"/>
        </w:rPr>
        <w:t>四</w:t>
      </w:r>
      <w:r>
        <w:rPr>
          <w:rFonts w:hint="eastAsia"/>
          <w:sz w:val="24"/>
          <w:szCs w:val="24"/>
          <w:lang w:eastAsia="zh-CN"/>
        </w:rPr>
        <w:t>、</w:t>
      </w:r>
      <w:r>
        <w:rPr>
          <w:rFonts w:hint="eastAsia"/>
          <w:sz w:val="24"/>
          <w:szCs w:val="24"/>
        </w:rPr>
        <w:t>出租方提供的体检车</w:t>
      </w:r>
      <w:r>
        <w:rPr>
          <w:rFonts w:hint="eastAsia"/>
          <w:sz w:val="24"/>
          <w:szCs w:val="24"/>
          <w:lang w:val="en-US" w:eastAsia="zh-CN"/>
        </w:rPr>
        <w:t>需</w:t>
      </w:r>
      <w:r>
        <w:rPr>
          <w:rFonts w:hint="eastAsia"/>
          <w:sz w:val="24"/>
          <w:szCs w:val="24"/>
        </w:rPr>
        <w:t>满足以下条件：</w:t>
      </w:r>
    </w:p>
    <w:p w14:paraId="6F8B1CDD">
      <w:pPr>
        <w:pStyle w:val="21"/>
        <w:numPr>
          <w:ilvl w:val="0"/>
          <w:numId w:val="1"/>
        </w:numPr>
        <w:ind w:firstLineChars="0"/>
        <w:rPr>
          <w:sz w:val="24"/>
        </w:rPr>
      </w:pPr>
      <w:r>
        <w:rPr>
          <w:rFonts w:hint="eastAsia"/>
          <w:sz w:val="24"/>
        </w:rPr>
        <w:t>体检车要求：</w:t>
      </w:r>
    </w:p>
    <w:p w14:paraId="63174B87">
      <w:pPr>
        <w:ind w:firstLine="240" w:firstLineChars="100"/>
        <w:rPr>
          <w:sz w:val="24"/>
        </w:rPr>
      </w:pPr>
      <w:r>
        <w:rPr>
          <w:rFonts w:hint="eastAsia"/>
          <w:sz w:val="24"/>
        </w:rPr>
        <w:t>1.1车长≥5940mm，</w:t>
      </w:r>
    </w:p>
    <w:p w14:paraId="28D35097">
      <w:pPr>
        <w:ind w:firstLine="240" w:firstLineChars="100"/>
        <w:rPr>
          <w:sz w:val="24"/>
        </w:rPr>
      </w:pPr>
      <w:r>
        <w:rPr>
          <w:rFonts w:hint="eastAsia"/>
          <w:sz w:val="24"/>
        </w:rPr>
        <w:t>1.2车辆为医疗车类型，</w:t>
      </w:r>
    </w:p>
    <w:p w14:paraId="5744109D">
      <w:pPr>
        <w:ind w:firstLine="210" w:firstLineChars="100"/>
        <w:rPr>
          <w:sz w:val="24"/>
        </w:rPr>
      </w:pPr>
      <w:r>
        <w:rPr>
          <w:rFonts w:ascii="Arial" w:hAnsi="Arial" w:eastAsia="Arial" w:cs="Arial"/>
          <w:i w:val="0"/>
          <w:iCs w:val="0"/>
          <w:caps w:val="0"/>
          <w:color w:val="333333"/>
          <w:spacing w:val="0"/>
          <w:sz w:val="21"/>
          <w:szCs w:val="21"/>
          <w:shd w:val="clear" w:fill="FFFFFF"/>
        </w:rPr>
        <w:t>★</w:t>
      </w:r>
      <w:r>
        <w:rPr>
          <w:rFonts w:hint="eastAsia"/>
          <w:sz w:val="24"/>
        </w:rPr>
        <w:t>1.3车内可提供驻车空调；</w:t>
      </w:r>
    </w:p>
    <w:p w14:paraId="3E81AF4E">
      <w:pPr>
        <w:spacing w:line="360" w:lineRule="auto"/>
        <w:ind w:firstLine="210" w:firstLineChars="100"/>
        <w:rPr>
          <w:sz w:val="24"/>
        </w:rPr>
      </w:pPr>
      <w:r>
        <w:rPr>
          <w:rFonts w:ascii="Arial" w:hAnsi="Arial" w:eastAsia="Arial" w:cs="Arial"/>
          <w:i w:val="0"/>
          <w:iCs w:val="0"/>
          <w:caps w:val="0"/>
          <w:color w:val="333333"/>
          <w:spacing w:val="0"/>
          <w:sz w:val="21"/>
          <w:szCs w:val="21"/>
          <w:shd w:val="clear" w:fill="FFFFFF"/>
        </w:rPr>
        <w:t>★</w:t>
      </w:r>
      <w:r>
        <w:rPr>
          <w:rFonts w:hint="eastAsia"/>
          <w:sz w:val="24"/>
        </w:rPr>
        <w:t>1.4车辆需符合国家防辐射标准（铅房六面防护、电动门设计）、适配220V外接电源及影像传输系统，并在使用年限要求范围内。</w:t>
      </w:r>
    </w:p>
    <w:p w14:paraId="731A5FA5">
      <w:pPr>
        <w:spacing w:line="360" w:lineRule="auto"/>
        <w:ind w:firstLine="210" w:firstLineChars="100"/>
        <w:rPr>
          <w:rFonts w:hint="eastAsia"/>
          <w:sz w:val="24"/>
        </w:rPr>
      </w:pPr>
      <w:r>
        <w:rPr>
          <w:rFonts w:ascii="Arial" w:hAnsi="Arial" w:eastAsia="Arial" w:cs="Arial"/>
          <w:i w:val="0"/>
          <w:iCs w:val="0"/>
          <w:caps w:val="0"/>
          <w:color w:val="333333"/>
          <w:spacing w:val="0"/>
          <w:sz w:val="21"/>
          <w:szCs w:val="21"/>
          <w:shd w:val="clear" w:fill="FFFFFF"/>
        </w:rPr>
        <w:t>★</w:t>
      </w:r>
      <w:r>
        <w:rPr>
          <w:rFonts w:hint="eastAsia"/>
          <w:sz w:val="24"/>
        </w:rPr>
        <w:t>1.5搭载数字化X射线设备（DR）等核心医疗设备证照齐全有效，搭载</w:t>
      </w:r>
      <w:r>
        <w:rPr>
          <w:rFonts w:hint="eastAsia"/>
          <w:sz w:val="24"/>
          <w:lang w:val="en-US" w:eastAsia="zh-CN"/>
        </w:rPr>
        <w:t>车载</w:t>
      </w:r>
      <w:r>
        <w:rPr>
          <w:rFonts w:hint="eastAsia"/>
          <w:sz w:val="24"/>
        </w:rPr>
        <w:t>X射线</w:t>
      </w:r>
      <w:r>
        <w:rPr>
          <w:rFonts w:hint="eastAsia"/>
          <w:sz w:val="24"/>
          <w:lang w:val="en-US" w:eastAsia="zh-CN"/>
        </w:rPr>
        <w:t>机</w:t>
      </w:r>
      <w:r>
        <w:rPr>
          <w:rFonts w:hint="eastAsia"/>
          <w:sz w:val="24"/>
        </w:rPr>
        <w:t>（DR）支持胸片高清成像及报告实时生成。</w:t>
      </w:r>
    </w:p>
    <w:p w14:paraId="5D0133E4">
      <w:pPr>
        <w:spacing w:line="360" w:lineRule="auto"/>
        <w:rPr>
          <w:rFonts w:hint="eastAsia"/>
          <w:sz w:val="24"/>
        </w:rPr>
      </w:pPr>
      <w:r>
        <w:rPr>
          <w:rFonts w:ascii="Arial" w:hAnsi="Arial" w:eastAsia="Arial" w:cs="Arial"/>
          <w:i w:val="0"/>
          <w:iCs w:val="0"/>
          <w:caps w:val="0"/>
          <w:color w:val="333333"/>
          <w:spacing w:val="0"/>
          <w:sz w:val="21"/>
          <w:szCs w:val="21"/>
          <w:shd w:val="clear" w:fill="FFFFFF"/>
        </w:rPr>
        <w:t>★</w:t>
      </w:r>
      <w:r>
        <w:rPr>
          <w:rFonts w:hint="eastAsia"/>
          <w:sz w:val="24"/>
        </w:rPr>
        <w:t>2.车载X射线要求：产品注册证为车载专用整机注册证，非常规DR整机注册证。（必须提供医疗器械注册证证明）</w:t>
      </w:r>
    </w:p>
    <w:p w14:paraId="773D8DD1">
      <w:pPr>
        <w:spacing w:line="360" w:lineRule="auto"/>
        <w:rPr>
          <w:sz w:val="24"/>
        </w:rPr>
      </w:pPr>
      <w:r>
        <w:rPr>
          <w:rFonts w:hint="eastAsia"/>
          <w:sz w:val="24"/>
        </w:rPr>
        <w:t>3.高压发生器：</w:t>
      </w:r>
    </w:p>
    <w:p w14:paraId="1EC25F98">
      <w:pPr>
        <w:spacing w:line="360" w:lineRule="auto"/>
        <w:ind w:firstLine="210" w:firstLineChars="100"/>
        <w:rPr>
          <w:sz w:val="24"/>
        </w:rPr>
      </w:pPr>
      <w:r>
        <w:rPr>
          <w:rFonts w:ascii="Arial" w:hAnsi="Arial" w:eastAsia="Arial" w:cs="Arial"/>
          <w:i w:val="0"/>
          <w:iCs w:val="0"/>
          <w:caps w:val="0"/>
          <w:color w:val="333333"/>
          <w:spacing w:val="0"/>
          <w:sz w:val="21"/>
          <w:szCs w:val="21"/>
          <w:shd w:val="clear" w:fill="FFFFFF"/>
        </w:rPr>
        <w:t>★</w:t>
      </w:r>
      <w:r>
        <w:rPr>
          <w:rFonts w:hint="eastAsia"/>
          <w:sz w:val="24"/>
        </w:rPr>
        <w:t>3.1额定功率≥56KW</w:t>
      </w:r>
    </w:p>
    <w:p w14:paraId="3AAE9E95">
      <w:pPr>
        <w:spacing w:line="360" w:lineRule="auto"/>
        <w:ind w:firstLine="210" w:firstLineChars="100"/>
        <w:rPr>
          <w:sz w:val="24"/>
        </w:rPr>
      </w:pPr>
      <w:r>
        <w:rPr>
          <w:rFonts w:ascii="Arial" w:hAnsi="Arial" w:eastAsia="Arial" w:cs="Arial"/>
          <w:i w:val="0"/>
          <w:iCs w:val="0"/>
          <w:caps w:val="0"/>
          <w:color w:val="333333"/>
          <w:spacing w:val="0"/>
          <w:sz w:val="21"/>
          <w:szCs w:val="21"/>
          <w:shd w:val="clear" w:fill="FFFFFF"/>
        </w:rPr>
        <w:t>★</w:t>
      </w:r>
      <w:r>
        <w:rPr>
          <w:rFonts w:hint="eastAsia"/>
          <w:sz w:val="24"/>
        </w:rPr>
        <w:t>3.2 对电网供电功率需求≤3KVA</w:t>
      </w:r>
    </w:p>
    <w:p w14:paraId="5700F2B6">
      <w:pPr>
        <w:spacing w:line="360" w:lineRule="auto"/>
        <w:ind w:firstLine="210" w:firstLineChars="100"/>
        <w:rPr>
          <w:sz w:val="24"/>
        </w:rPr>
      </w:pPr>
      <w:r>
        <w:rPr>
          <w:rFonts w:ascii="Arial" w:hAnsi="Arial" w:eastAsia="Arial" w:cs="Arial"/>
          <w:i w:val="0"/>
          <w:iCs w:val="0"/>
          <w:caps w:val="0"/>
          <w:color w:val="333333"/>
          <w:spacing w:val="0"/>
          <w:sz w:val="21"/>
          <w:szCs w:val="21"/>
          <w:shd w:val="clear" w:fill="FFFFFF"/>
        </w:rPr>
        <w:t>★</w:t>
      </w:r>
      <w:r>
        <w:rPr>
          <w:rFonts w:hint="eastAsia"/>
          <w:sz w:val="24"/>
        </w:rPr>
        <w:t>3.3 最大电流≥710mA</w:t>
      </w:r>
    </w:p>
    <w:p w14:paraId="38170B01">
      <w:pPr>
        <w:spacing w:line="360" w:lineRule="auto"/>
        <w:rPr>
          <w:sz w:val="24"/>
        </w:rPr>
      </w:pPr>
      <w:r>
        <w:rPr>
          <w:rFonts w:ascii="Arial" w:hAnsi="Arial" w:eastAsia="Arial" w:cs="Arial"/>
          <w:i w:val="0"/>
          <w:iCs w:val="0"/>
          <w:caps w:val="0"/>
          <w:color w:val="333333"/>
          <w:spacing w:val="0"/>
          <w:sz w:val="21"/>
          <w:szCs w:val="21"/>
          <w:shd w:val="clear" w:fill="FFFFFF"/>
        </w:rPr>
        <w:t>★</w:t>
      </w:r>
      <w:r>
        <w:rPr>
          <w:rFonts w:hint="eastAsia"/>
          <w:sz w:val="24"/>
        </w:rPr>
        <w:t>4.球管热容量≥330KHU</w:t>
      </w:r>
    </w:p>
    <w:p w14:paraId="6215447A">
      <w:pPr>
        <w:spacing w:line="360" w:lineRule="auto"/>
        <w:rPr>
          <w:sz w:val="24"/>
        </w:rPr>
      </w:pPr>
      <w:r>
        <w:rPr>
          <w:rFonts w:hint="eastAsia"/>
          <w:sz w:val="24"/>
          <w:lang w:val="en-US" w:eastAsia="zh-CN"/>
        </w:rPr>
        <w:t>五</w:t>
      </w:r>
      <w:r>
        <w:rPr>
          <w:rFonts w:hint="eastAsia"/>
          <w:sz w:val="24"/>
          <w:lang w:eastAsia="zh-CN"/>
        </w:rPr>
        <w:t>、</w:t>
      </w:r>
      <w:r>
        <w:rPr>
          <w:rFonts w:hint="eastAsia"/>
          <w:sz w:val="24"/>
        </w:rPr>
        <w:t>其他要求：</w:t>
      </w:r>
    </w:p>
    <w:p w14:paraId="25D56EBE">
      <w:pPr>
        <w:spacing w:line="360" w:lineRule="auto"/>
        <w:ind w:firstLine="240" w:firstLineChars="100"/>
        <w:rPr>
          <w:sz w:val="24"/>
        </w:rPr>
      </w:pPr>
      <w:r>
        <w:rPr>
          <w:rFonts w:hint="eastAsia"/>
          <w:sz w:val="24"/>
        </w:rPr>
        <w:t xml:space="preserve">1 </w:t>
      </w:r>
      <w:r>
        <w:rPr>
          <w:rFonts w:hint="eastAsia"/>
          <w:sz w:val="24"/>
          <w:lang w:val="en-US" w:eastAsia="zh-CN"/>
        </w:rPr>
        <w:t>.</w:t>
      </w:r>
      <w:r>
        <w:rPr>
          <w:rFonts w:hint="eastAsia"/>
          <w:sz w:val="24"/>
        </w:rPr>
        <w:t>租赁服务报价</w:t>
      </w:r>
      <w:r>
        <w:rPr>
          <w:rFonts w:hint="eastAsia"/>
          <w:sz w:val="24"/>
          <w:lang w:val="en-US" w:eastAsia="zh-CN"/>
        </w:rPr>
        <w:t>为项目总价，需</w:t>
      </w:r>
      <w:r>
        <w:rPr>
          <w:rFonts w:hint="eastAsia"/>
          <w:sz w:val="24"/>
        </w:rPr>
        <w:t>包含但不限于：人工费（司机）、劳保费、保险费、材料费、设备使用费、包装费、运输费、安装调试费、资料费、各种税费、必须的辅助材料费及合同实施过程中不可预见费用等全部费用。</w:t>
      </w:r>
    </w:p>
    <w:p w14:paraId="1625D99C">
      <w:pPr>
        <w:spacing w:line="360" w:lineRule="auto"/>
        <w:ind w:firstLine="240" w:firstLineChars="100"/>
        <w:rPr>
          <w:sz w:val="24"/>
        </w:rPr>
      </w:pPr>
      <w:r>
        <w:rPr>
          <w:rFonts w:hint="eastAsia"/>
          <w:sz w:val="24"/>
        </w:rPr>
        <w:t>2.出租方具备有租赁车辆相关经营范围的营业执照，</w:t>
      </w:r>
      <w:r>
        <w:rPr>
          <w:sz w:val="24"/>
        </w:rPr>
        <w:t xml:space="preserve"> </w:t>
      </w:r>
    </w:p>
    <w:p w14:paraId="3A872CD0">
      <w:pPr>
        <w:spacing w:line="360" w:lineRule="auto"/>
        <w:ind w:firstLine="240" w:firstLineChars="100"/>
        <w:rPr>
          <w:sz w:val="24"/>
        </w:rPr>
      </w:pPr>
      <w:r>
        <w:rPr>
          <w:rFonts w:hint="eastAsia"/>
          <w:sz w:val="24"/>
        </w:rPr>
        <w:t>3.需提供合格、符合诊断质量要求的DR照片。</w:t>
      </w:r>
    </w:p>
    <w:p w14:paraId="506E5A99">
      <w:pPr>
        <w:bidi w:val="0"/>
        <w:spacing w:line="360" w:lineRule="auto"/>
        <w:rPr>
          <w:rFonts w:hint="eastAsia"/>
          <w:sz w:val="24"/>
          <w:szCs w:val="24"/>
          <w:lang w:val="en-US" w:eastAsia="zh-CN"/>
        </w:rPr>
      </w:pPr>
      <w:r>
        <w:rPr>
          <w:rFonts w:ascii="Arial" w:hAnsi="Arial" w:eastAsia="Arial"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val="en-US" w:eastAsia="zh-CN"/>
        </w:rPr>
        <w:t>4</w:t>
      </w:r>
      <w:r>
        <w:rPr>
          <w:rFonts w:hint="eastAsia"/>
          <w:sz w:val="24"/>
          <w:szCs w:val="24"/>
          <w:lang w:val="en-US" w:eastAsia="zh-CN"/>
        </w:rPr>
        <w:t>每台车载X射线机持续拍片能力</w:t>
      </w:r>
      <w:r>
        <w:rPr>
          <w:rFonts w:hint="eastAsia"/>
          <w:sz w:val="24"/>
          <w:szCs w:val="24"/>
        </w:rPr>
        <w:t>≥</w:t>
      </w:r>
      <w:r>
        <w:rPr>
          <w:rFonts w:hint="eastAsia"/>
          <w:sz w:val="24"/>
          <w:szCs w:val="24"/>
          <w:lang w:val="en-US" w:eastAsia="zh-CN"/>
        </w:rPr>
        <w:t>2000人/天</w:t>
      </w:r>
    </w:p>
    <w:p w14:paraId="51270B34">
      <w:pPr>
        <w:pStyle w:val="2"/>
        <w:numPr>
          <w:ilvl w:val="0"/>
          <w:numId w:val="0"/>
        </w:numPr>
        <w:bidi w:val="0"/>
        <w:spacing w:line="360" w:lineRule="auto"/>
        <w:ind w:firstLine="0"/>
        <w:rPr>
          <w:sz w:val="24"/>
        </w:rPr>
      </w:pPr>
      <w:r>
        <w:rPr>
          <w:rFonts w:ascii="Arial" w:hAnsi="Arial" w:eastAsia="Arial"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val="en-US" w:eastAsia="zh-CN"/>
        </w:rPr>
        <w:t>5</w:t>
      </w:r>
      <w:r>
        <w:rPr>
          <w:rFonts w:hint="eastAsia"/>
          <w:sz w:val="24"/>
          <w:szCs w:val="24"/>
          <w:lang w:val="en-US" w:eastAsia="zh-CN"/>
        </w:rPr>
        <w:t>用车期间，需全程配备厂家工程师陪同使用。</w:t>
      </w:r>
    </w:p>
    <w:tbl>
      <w:tblPr>
        <w:tblStyle w:val="12"/>
        <w:tblW w:w="971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5"/>
        <w:gridCol w:w="2480"/>
        <w:gridCol w:w="6053"/>
      </w:tblGrid>
      <w:tr w14:paraId="5317A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jc w:val="center"/>
        </w:trPr>
        <w:tc>
          <w:tcPr>
            <w:tcW w:w="1185" w:type="dxa"/>
            <w:vAlign w:val="center"/>
          </w:tcPr>
          <w:p w14:paraId="2B7949E3">
            <w:pPr>
              <w:keepNext w:val="0"/>
              <w:keepLines w:val="0"/>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评审因素</w:t>
            </w:r>
          </w:p>
        </w:tc>
        <w:tc>
          <w:tcPr>
            <w:tcW w:w="8533" w:type="dxa"/>
            <w:gridSpan w:val="2"/>
            <w:vAlign w:val="center"/>
          </w:tcPr>
          <w:p w14:paraId="707D59C3">
            <w:pPr>
              <w:keepNext w:val="0"/>
              <w:keepLines w:val="0"/>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评审标准</w:t>
            </w:r>
          </w:p>
        </w:tc>
      </w:tr>
      <w:tr w14:paraId="2FA89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1" w:hRule="atLeast"/>
          <w:jc w:val="center"/>
        </w:trPr>
        <w:tc>
          <w:tcPr>
            <w:tcW w:w="1185" w:type="dxa"/>
            <w:vAlign w:val="center"/>
          </w:tcPr>
          <w:p w14:paraId="29FE0D9F">
            <w:pPr>
              <w:keepNext w:val="0"/>
              <w:keepLines w:val="0"/>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分值构成</w:t>
            </w:r>
          </w:p>
        </w:tc>
        <w:tc>
          <w:tcPr>
            <w:tcW w:w="8533" w:type="dxa"/>
            <w:gridSpan w:val="2"/>
            <w:vAlign w:val="center"/>
          </w:tcPr>
          <w:p w14:paraId="45531F79">
            <w:pPr>
              <w:keepNext w:val="0"/>
              <w:keepLines w:val="0"/>
              <w:pageBreakBefore w:val="0"/>
              <w:kinsoku/>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技术部分</w:t>
            </w:r>
            <w:r>
              <w:rPr>
                <w:rFonts w:hint="eastAsia" w:ascii="Times New Roman" w:hAnsi="Times New Roman" w:eastAsia="仿宋_GB2312" w:cs="Times New Roman"/>
                <w:color w:val="auto"/>
                <w:sz w:val="24"/>
                <w:szCs w:val="24"/>
                <w:highlight w:val="none"/>
                <w:lang w:val="en-US" w:eastAsia="zh-CN"/>
              </w:rPr>
              <w:t>55</w:t>
            </w:r>
            <w:r>
              <w:rPr>
                <w:rFonts w:hint="default" w:ascii="Times New Roman" w:hAnsi="Times New Roman" w:eastAsia="仿宋_GB2312" w:cs="Times New Roman"/>
                <w:color w:val="auto"/>
                <w:sz w:val="24"/>
                <w:szCs w:val="24"/>
                <w:highlight w:val="none"/>
              </w:rPr>
              <w:t>分</w:t>
            </w:r>
          </w:p>
          <w:p w14:paraId="5482D8FB">
            <w:pPr>
              <w:keepNext w:val="0"/>
              <w:keepLines w:val="0"/>
              <w:pageBreakBefore w:val="0"/>
              <w:kinsoku/>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商务部分</w:t>
            </w:r>
            <w:r>
              <w:rPr>
                <w:rFonts w:hint="eastAsia"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分</w:t>
            </w:r>
          </w:p>
          <w:p w14:paraId="61FF3A16">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报价得分</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0分</w:t>
            </w:r>
          </w:p>
        </w:tc>
      </w:tr>
      <w:tr w14:paraId="29E44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7" w:hRule="atLeast"/>
          <w:jc w:val="center"/>
        </w:trPr>
        <w:tc>
          <w:tcPr>
            <w:tcW w:w="1185" w:type="dxa"/>
            <w:vMerge w:val="restart"/>
            <w:vAlign w:val="center"/>
          </w:tcPr>
          <w:p w14:paraId="2DA9597C">
            <w:pPr>
              <w:keepNext w:val="0"/>
              <w:keepLines w:val="0"/>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技术部分</w:t>
            </w:r>
          </w:p>
        </w:tc>
        <w:tc>
          <w:tcPr>
            <w:tcW w:w="2480" w:type="dxa"/>
            <w:vAlign w:val="center"/>
          </w:tcPr>
          <w:p w14:paraId="6DD9D46B">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技术参数响应程度</w:t>
            </w:r>
          </w:p>
          <w:p w14:paraId="72ACA6B0">
            <w:pPr>
              <w:keepNext w:val="0"/>
              <w:keepLines w:val="0"/>
              <w:pageBreakBefore w:val="0"/>
              <w:kinsoku/>
              <w:wordWrap w:val="0"/>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rPr>
              <w:t>分</w:t>
            </w:r>
            <w:r>
              <w:rPr>
                <w:rFonts w:hint="eastAsia" w:ascii="Times New Roman" w:hAnsi="Times New Roman" w:eastAsia="仿宋_GB2312" w:cs="Times New Roman"/>
                <w:color w:val="auto"/>
                <w:sz w:val="24"/>
                <w:szCs w:val="24"/>
                <w:highlight w:val="none"/>
                <w:lang w:eastAsia="zh-CN"/>
              </w:rPr>
              <w:t>）</w:t>
            </w:r>
          </w:p>
        </w:tc>
        <w:tc>
          <w:tcPr>
            <w:tcW w:w="6053" w:type="dxa"/>
            <w:vAlign w:val="center"/>
          </w:tcPr>
          <w:p w14:paraId="79F118F4">
            <w:pPr>
              <w:keepNext w:val="0"/>
              <w:keepLines w:val="0"/>
              <w:pageBreakBefore w:val="0"/>
              <w:widowControl/>
              <w:tabs>
                <w:tab w:val="left" w:pos="360"/>
              </w:tabs>
              <w:kinsoku/>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根据用户需求书中的参数要求带“</w:t>
            </w:r>
            <w:r>
              <w:rPr>
                <w:rFonts w:ascii="Arial" w:hAnsi="Arial" w:eastAsia="Arial" w:cs="Arial"/>
                <w:i w:val="0"/>
                <w:iCs w:val="0"/>
                <w:caps w:val="0"/>
                <w:color w:val="333333"/>
                <w:spacing w:val="0"/>
                <w:sz w:val="21"/>
                <w:szCs w:val="21"/>
                <w:shd w:val="clear" w:fill="FFFFFF"/>
              </w:rPr>
              <w:t>★</w:t>
            </w:r>
            <w:r>
              <w:rPr>
                <w:rFonts w:hint="default" w:ascii="Times New Roman" w:hAnsi="Times New Roman" w:eastAsia="仿宋_GB2312" w:cs="Times New Roman"/>
                <w:color w:val="auto"/>
                <w:sz w:val="24"/>
                <w:szCs w:val="24"/>
              </w:rPr>
              <w:t>”技术指标条款全部响应</w:t>
            </w:r>
            <w:r>
              <w:rPr>
                <w:rFonts w:hint="default" w:ascii="Times New Roman" w:hAnsi="Times New Roman" w:eastAsia="仿宋_GB2312" w:cs="Times New Roman"/>
                <w:color w:val="auto"/>
                <w:sz w:val="24"/>
                <w:szCs w:val="24"/>
                <w:lang w:eastAsia="zh-CN"/>
              </w:rPr>
              <w:t>或</w:t>
            </w:r>
            <w:r>
              <w:rPr>
                <w:rFonts w:hint="default" w:ascii="Times New Roman" w:hAnsi="Times New Roman" w:eastAsia="仿宋_GB2312" w:cs="Times New Roman"/>
                <w:color w:val="auto"/>
                <w:sz w:val="24"/>
                <w:szCs w:val="24"/>
              </w:rPr>
              <w:t>满足的得</w:t>
            </w:r>
            <w:r>
              <w:rPr>
                <w:rFonts w:hint="eastAsia" w:ascii="Times New Roman" w:hAnsi="Times New Roman" w:eastAsia="仿宋_GB2312" w:cs="Times New Roman"/>
                <w:color w:val="auto"/>
                <w:sz w:val="24"/>
                <w:szCs w:val="24"/>
                <w:lang w:val="en-US" w:eastAsia="zh-CN"/>
              </w:rPr>
              <w:t>20</w:t>
            </w:r>
            <w:r>
              <w:rPr>
                <w:rFonts w:hint="default" w:ascii="Times New Roman" w:hAnsi="Times New Roman" w:eastAsia="仿宋_GB2312" w:cs="Times New Roman"/>
                <w:color w:val="auto"/>
                <w:sz w:val="24"/>
                <w:szCs w:val="24"/>
              </w:rPr>
              <w:t>分。参数指标不满足或者不响应的每一项扣</w:t>
            </w:r>
            <w:r>
              <w:rPr>
                <w:rFonts w:hint="eastAsia"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分；扣完为止。</w:t>
            </w:r>
          </w:p>
          <w:p w14:paraId="205E22A7">
            <w:pPr>
              <w:keepNext w:val="0"/>
              <w:keepLines w:val="0"/>
              <w:pageBreakBefore w:val="0"/>
              <w:widowControl/>
              <w:tabs>
                <w:tab w:val="left" w:pos="360"/>
              </w:tabs>
              <w:kinsoku/>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highlight w:val="none"/>
              </w:rPr>
              <w:t>①</w:t>
            </w:r>
            <w:r>
              <w:rPr>
                <w:rFonts w:hint="default" w:ascii="Times New Roman" w:hAnsi="Times New Roman" w:eastAsia="仿宋_GB2312" w:cs="Times New Roman"/>
                <w:color w:val="auto"/>
                <w:sz w:val="24"/>
                <w:szCs w:val="24"/>
              </w:rPr>
              <w:t>用户需求书要求提供证明资料的，则</w:t>
            </w:r>
            <w:r>
              <w:rPr>
                <w:rFonts w:hint="default" w:ascii="Times New Roman" w:hAnsi="Times New Roman" w:eastAsia="仿宋_GB2312" w:cs="Times New Roman"/>
                <w:color w:val="auto"/>
                <w:sz w:val="24"/>
                <w:szCs w:val="24"/>
                <w:lang w:eastAsia="zh-CN"/>
              </w:rPr>
              <w:t>响应</w:t>
            </w:r>
            <w:r>
              <w:rPr>
                <w:rFonts w:hint="default" w:ascii="Times New Roman" w:hAnsi="Times New Roman" w:eastAsia="仿宋_GB2312" w:cs="Times New Roman"/>
                <w:color w:val="auto"/>
                <w:sz w:val="24"/>
                <w:szCs w:val="24"/>
              </w:rPr>
              <w:t>文件中须提供对应产品参数的证明资料。</w:t>
            </w:r>
          </w:p>
          <w:p w14:paraId="05E803E1">
            <w:pPr>
              <w:keepNext w:val="0"/>
              <w:keepLines w:val="0"/>
              <w:pageBreakBefore w:val="0"/>
              <w:widowControl/>
              <w:tabs>
                <w:tab w:val="left" w:pos="360"/>
              </w:tabs>
              <w:kinsoku/>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②</w:t>
            </w:r>
            <w:r>
              <w:rPr>
                <w:rFonts w:hint="default" w:ascii="Times New Roman" w:hAnsi="Times New Roman" w:eastAsia="仿宋_GB2312" w:cs="Times New Roman"/>
                <w:color w:val="auto"/>
                <w:sz w:val="24"/>
                <w:szCs w:val="24"/>
              </w:rPr>
              <w:t>用户需求书未要求提供证明资料的，则</w:t>
            </w:r>
            <w:r>
              <w:rPr>
                <w:rFonts w:hint="default" w:ascii="Times New Roman" w:hAnsi="Times New Roman" w:eastAsia="仿宋_GB2312" w:cs="Times New Roman"/>
                <w:color w:val="auto"/>
                <w:sz w:val="24"/>
                <w:szCs w:val="24"/>
                <w:lang w:eastAsia="zh-CN"/>
              </w:rPr>
              <w:t>响应</w:t>
            </w:r>
            <w:r>
              <w:rPr>
                <w:rFonts w:hint="default" w:ascii="Times New Roman" w:hAnsi="Times New Roman" w:eastAsia="仿宋_GB2312" w:cs="Times New Roman"/>
                <w:color w:val="auto"/>
                <w:sz w:val="24"/>
                <w:szCs w:val="24"/>
              </w:rPr>
              <w:t>文件中须提供所投产品彩页或原厂商的官方技术白皮书（或产品说明书）或原厂商所作的技术参数说明或原厂商网站链接及网站产品说明的截图等详细技术资料。</w:t>
            </w:r>
          </w:p>
        </w:tc>
      </w:tr>
      <w:tr w14:paraId="3BAF5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1" w:hRule="atLeast"/>
          <w:jc w:val="center"/>
        </w:trPr>
        <w:tc>
          <w:tcPr>
            <w:tcW w:w="1185" w:type="dxa"/>
            <w:vMerge w:val="continue"/>
            <w:vAlign w:val="center"/>
          </w:tcPr>
          <w:p w14:paraId="45740F39">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p>
        </w:tc>
        <w:tc>
          <w:tcPr>
            <w:tcW w:w="2480" w:type="dxa"/>
            <w:vAlign w:val="center"/>
          </w:tcPr>
          <w:p w14:paraId="0E9848C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Times New Roman" w:hAnsi="Times New Roman" w:eastAsia="仿宋_GB2312"/>
                <w:color w:val="auto"/>
                <w:sz w:val="24"/>
                <w:highlight w:val="none"/>
              </w:rPr>
            </w:pPr>
            <w:r>
              <w:rPr>
                <w:rFonts w:hint="default" w:ascii="Times New Roman" w:hAnsi="Times New Roman" w:eastAsia="仿宋_GB2312"/>
                <w:color w:val="auto"/>
                <w:sz w:val="24"/>
                <w:highlight w:val="none"/>
              </w:rPr>
              <w:t>车辆及放射操作人员管理制度保障措施</w:t>
            </w:r>
          </w:p>
          <w:p w14:paraId="0D1AE12A">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olor w:val="auto"/>
                <w:sz w:val="24"/>
                <w:highlight w:val="none"/>
              </w:rPr>
              <w:t>（</w:t>
            </w:r>
            <w:r>
              <w:rPr>
                <w:rFonts w:hint="eastAsia" w:ascii="Times New Roman" w:hAnsi="Times New Roman" w:eastAsia="仿宋_GB2312"/>
                <w:color w:val="auto"/>
                <w:sz w:val="24"/>
                <w:highlight w:val="none"/>
                <w:lang w:val="en-US" w:eastAsia="zh-CN"/>
              </w:rPr>
              <w:t>10</w:t>
            </w:r>
            <w:r>
              <w:rPr>
                <w:rFonts w:hint="default" w:ascii="Times New Roman" w:hAnsi="Times New Roman" w:eastAsia="仿宋_GB2312"/>
                <w:color w:val="auto"/>
                <w:sz w:val="24"/>
                <w:highlight w:val="none"/>
              </w:rPr>
              <w:t>分）</w:t>
            </w:r>
            <w:r>
              <w:rPr>
                <w:rFonts w:hint="default" w:ascii="Times New Roman" w:hAnsi="Times New Roman" w:eastAsia="仿宋_GB2312" w:cs="Times New Roman"/>
                <w:color w:val="auto"/>
                <w:sz w:val="24"/>
                <w:szCs w:val="24"/>
                <w:highlight w:val="none"/>
              </w:rPr>
              <w:t>，（等次分值选择：0</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rPr>
              <w:t>）</w:t>
            </w:r>
          </w:p>
        </w:tc>
        <w:tc>
          <w:tcPr>
            <w:tcW w:w="6053" w:type="dxa"/>
          </w:tcPr>
          <w:p w14:paraId="49CA0F8B">
            <w:pPr>
              <w:keepNext w:val="0"/>
              <w:keepLines w:val="0"/>
              <w:pageBreakBefore w:val="0"/>
              <w:widowControl/>
              <w:tabs>
                <w:tab w:val="left" w:pos="360"/>
              </w:tabs>
              <w:kinsoku/>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根据供应商现有的车辆及放射操作人员管理制度保障措施（包括：①日常车辆维护保养措施（含齐备的相关保险）、②车辆日常安全与卫生检查监督措施、③放射操作人员操作技能和安全防护意识、④放射操作人员考核与奖惩措施）进行综合评审：</w:t>
            </w:r>
          </w:p>
          <w:p w14:paraId="75C90B60">
            <w:pPr>
              <w:keepNext w:val="0"/>
              <w:keepLines w:val="0"/>
              <w:pageBreakBefore w:val="0"/>
              <w:widowControl/>
              <w:tabs>
                <w:tab w:val="left" w:pos="360"/>
              </w:tabs>
              <w:kinsoku/>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szCs w:val="24"/>
                <w:highlight w:val="none"/>
              </w:rPr>
              <w:t>①</w:t>
            </w:r>
            <w:r>
              <w:rPr>
                <w:rFonts w:hint="default" w:ascii="Times New Roman" w:hAnsi="Times New Roman" w:eastAsia="仿宋_GB2312" w:cs="Times New Roman"/>
                <w:color w:val="auto"/>
                <w:sz w:val="24"/>
              </w:rPr>
              <w:t>车辆及放射操作人员管理制度保障措施可行性、完备性具体详实，得</w:t>
            </w:r>
            <w:r>
              <w:rPr>
                <w:rFonts w:hint="eastAsia" w:ascii="Times New Roman" w:hAnsi="Times New Roman" w:eastAsia="仿宋_GB2312" w:cs="Times New Roman"/>
                <w:color w:val="auto"/>
                <w:sz w:val="24"/>
                <w:lang w:val="en-US" w:eastAsia="zh-CN"/>
              </w:rPr>
              <w:t>10</w:t>
            </w:r>
            <w:r>
              <w:rPr>
                <w:rFonts w:hint="default" w:ascii="Times New Roman" w:hAnsi="Times New Roman" w:eastAsia="仿宋_GB2312" w:cs="Times New Roman"/>
                <w:color w:val="auto"/>
                <w:sz w:val="24"/>
              </w:rPr>
              <w:t>分；</w:t>
            </w:r>
          </w:p>
          <w:p w14:paraId="3BB89082">
            <w:pPr>
              <w:keepNext w:val="0"/>
              <w:keepLines w:val="0"/>
              <w:pageBreakBefore w:val="0"/>
              <w:widowControl/>
              <w:tabs>
                <w:tab w:val="left" w:pos="360"/>
              </w:tabs>
              <w:kinsoku/>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szCs w:val="24"/>
                <w:highlight w:val="none"/>
              </w:rPr>
              <w:t>②</w:t>
            </w:r>
            <w:r>
              <w:rPr>
                <w:rFonts w:hint="default" w:ascii="Times New Roman" w:hAnsi="Times New Roman" w:eastAsia="仿宋_GB2312" w:cs="Times New Roman"/>
                <w:color w:val="auto"/>
                <w:sz w:val="24"/>
              </w:rPr>
              <w:t>车辆及放射操作人员管理制度保障措施可行性、完备性较具体详实，得</w:t>
            </w:r>
            <w:r>
              <w:rPr>
                <w:rFonts w:hint="eastAsia" w:ascii="Times New Roman" w:hAnsi="Times New Roman" w:eastAsia="仿宋_GB2312" w:cs="Times New Roman"/>
                <w:color w:val="auto"/>
                <w:sz w:val="24"/>
                <w:lang w:val="en-US" w:eastAsia="zh-CN"/>
              </w:rPr>
              <w:t>7</w:t>
            </w:r>
            <w:r>
              <w:rPr>
                <w:rFonts w:hint="default" w:ascii="Times New Roman" w:hAnsi="Times New Roman" w:eastAsia="仿宋_GB2312" w:cs="Times New Roman"/>
                <w:color w:val="auto"/>
                <w:sz w:val="24"/>
              </w:rPr>
              <w:t>分；</w:t>
            </w:r>
          </w:p>
          <w:p w14:paraId="35F96ADB">
            <w:pPr>
              <w:keepNext w:val="0"/>
              <w:keepLines w:val="0"/>
              <w:pageBreakBefore w:val="0"/>
              <w:widowControl/>
              <w:tabs>
                <w:tab w:val="left" w:pos="360"/>
              </w:tabs>
              <w:kinsoku/>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szCs w:val="24"/>
                <w:highlight w:val="none"/>
              </w:rPr>
              <w:t>③</w:t>
            </w:r>
            <w:r>
              <w:rPr>
                <w:rFonts w:hint="default" w:ascii="Times New Roman" w:hAnsi="Times New Roman" w:eastAsia="仿宋_GB2312" w:cs="Times New Roman"/>
                <w:color w:val="auto"/>
                <w:sz w:val="24"/>
              </w:rPr>
              <w:t>车辆及放射操作人员管理制度保障措施可行性、完备性一般，得</w:t>
            </w:r>
            <w:r>
              <w:rPr>
                <w:rFonts w:hint="eastAsia"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分；</w:t>
            </w:r>
          </w:p>
          <w:p w14:paraId="0DB9B227">
            <w:pPr>
              <w:keepNext w:val="0"/>
              <w:keepLines w:val="0"/>
              <w:pageBreakBefore w:val="0"/>
              <w:widowControl/>
              <w:tabs>
                <w:tab w:val="left" w:pos="360"/>
              </w:tabs>
              <w:kinsoku/>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szCs w:val="24"/>
                <w:highlight w:val="none"/>
              </w:rPr>
              <w:t>④</w:t>
            </w:r>
            <w:r>
              <w:rPr>
                <w:rFonts w:hint="default" w:ascii="Times New Roman" w:hAnsi="Times New Roman" w:eastAsia="仿宋_GB2312" w:cs="Times New Roman"/>
                <w:color w:val="auto"/>
                <w:sz w:val="24"/>
              </w:rPr>
              <w:t>有一定的车辆及放射操作人员管理制度保障措施，可行性、完备性较差，得1分；</w:t>
            </w:r>
          </w:p>
          <w:p w14:paraId="6C24E8A9">
            <w:pPr>
              <w:keepNext w:val="0"/>
              <w:keepLines w:val="0"/>
              <w:pageBreakBefore w:val="0"/>
              <w:widowControl/>
              <w:tabs>
                <w:tab w:val="left" w:pos="360"/>
              </w:tabs>
              <w:kinsoku/>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⑤</w:t>
            </w:r>
            <w:r>
              <w:rPr>
                <w:rFonts w:hint="default" w:ascii="Times New Roman" w:hAnsi="Times New Roman" w:eastAsia="仿宋_GB2312" w:cs="Times New Roman"/>
                <w:color w:val="auto"/>
                <w:sz w:val="24"/>
              </w:rPr>
              <w:t>未提供保障措施的不得分。</w:t>
            </w:r>
          </w:p>
        </w:tc>
      </w:tr>
      <w:tr w14:paraId="539D3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0" w:hRule="atLeast"/>
          <w:jc w:val="center"/>
        </w:trPr>
        <w:tc>
          <w:tcPr>
            <w:tcW w:w="1185" w:type="dxa"/>
            <w:vMerge w:val="continue"/>
            <w:vAlign w:val="center"/>
          </w:tcPr>
          <w:p w14:paraId="177DEE16">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p>
        </w:tc>
        <w:tc>
          <w:tcPr>
            <w:tcW w:w="2480" w:type="dxa"/>
            <w:vAlign w:val="center"/>
          </w:tcPr>
          <w:p w14:paraId="0263FBBC">
            <w:pPr>
              <w:keepNext w:val="0"/>
              <w:keepLines w:val="0"/>
              <w:pageBreakBefore w:val="0"/>
              <w:kinsoku/>
              <w:wordWrap w:val="0"/>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总体服务方案 (1</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分)，（等次分值选择：0</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5</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w:t>
            </w:r>
          </w:p>
        </w:tc>
        <w:tc>
          <w:tcPr>
            <w:tcW w:w="6053" w:type="dxa"/>
            <w:vAlign w:val="center"/>
          </w:tcPr>
          <w:p w14:paraId="7D9C6695">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根据</w:t>
            </w:r>
            <w:r>
              <w:rPr>
                <w:rFonts w:hint="eastAsia"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针对项目所提供的总体服务方案（包括但不限于服务标准、服务管理、安全保障措施、</w:t>
            </w:r>
            <w:r>
              <w:rPr>
                <w:rFonts w:hint="eastAsia" w:ascii="Times New Roman" w:hAnsi="Times New Roman" w:eastAsia="仿宋_GB2312" w:cs="Times New Roman"/>
                <w:color w:val="auto"/>
                <w:sz w:val="24"/>
                <w:szCs w:val="24"/>
                <w:highlight w:val="none"/>
                <w:lang w:eastAsia="zh-CN"/>
              </w:rPr>
              <w:t>费用包含</w:t>
            </w:r>
            <w:r>
              <w:rPr>
                <w:rFonts w:hint="default" w:ascii="Times New Roman" w:hAnsi="Times New Roman" w:eastAsia="仿宋_GB2312" w:cs="Times New Roman"/>
                <w:color w:val="auto"/>
                <w:sz w:val="24"/>
                <w:szCs w:val="24"/>
                <w:highlight w:val="none"/>
              </w:rPr>
              <w:t>、售后服务承诺等）进行评审：</w:t>
            </w:r>
          </w:p>
          <w:p w14:paraId="3473772F">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①服务方案非常全面详尽、可操作性非常强的得1</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分；</w:t>
            </w:r>
          </w:p>
          <w:p w14:paraId="20F8EC5D">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②服务方案较为全面详尽、可操作性较强的得</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分；</w:t>
            </w:r>
          </w:p>
          <w:p w14:paraId="21E65E05">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③服务方案基本全面详尽，具有可操作性的得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分；</w:t>
            </w:r>
          </w:p>
          <w:p w14:paraId="773CA120">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④服务方案不够全面、实操性弱的得</w:t>
            </w: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分；</w:t>
            </w:r>
          </w:p>
          <w:p w14:paraId="6E7963FE">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⑤无不得分。</w:t>
            </w:r>
          </w:p>
        </w:tc>
      </w:tr>
      <w:tr w14:paraId="32081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82" w:hRule="atLeast"/>
          <w:jc w:val="center"/>
        </w:trPr>
        <w:tc>
          <w:tcPr>
            <w:tcW w:w="1185" w:type="dxa"/>
            <w:vMerge w:val="continue"/>
            <w:vAlign w:val="center"/>
          </w:tcPr>
          <w:p w14:paraId="7664D342">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p>
        </w:tc>
        <w:tc>
          <w:tcPr>
            <w:tcW w:w="2480" w:type="dxa"/>
            <w:vAlign w:val="center"/>
          </w:tcPr>
          <w:p w14:paraId="16F19418">
            <w:pPr>
              <w:keepNext w:val="0"/>
              <w:keepLines w:val="0"/>
              <w:pageBreakBefore w:val="0"/>
              <w:kinsoku/>
              <w:wordWrap w:val="0"/>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应急方案 (</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分)，（等次分值选择：0</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w:t>
            </w:r>
          </w:p>
        </w:tc>
        <w:tc>
          <w:tcPr>
            <w:tcW w:w="6053" w:type="dxa"/>
            <w:vAlign w:val="center"/>
          </w:tcPr>
          <w:p w14:paraId="47DF5184">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根据</w:t>
            </w:r>
            <w:r>
              <w:rPr>
                <w:rFonts w:hint="eastAsia"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针对本项目出现紧急事件所拟定的应急方案进行评审：</w:t>
            </w:r>
          </w:p>
          <w:p w14:paraId="60FDA5BB">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①应急方案考虑非常全面合理周到，非常有利于项目实施的得</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分；</w:t>
            </w:r>
          </w:p>
          <w:p w14:paraId="1A551F1C">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②应急方案较完善合理，有利于项目实施的得</w:t>
            </w:r>
            <w:r>
              <w:rPr>
                <w:rFonts w:hint="eastAsia"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rPr>
              <w:t>分；</w:t>
            </w:r>
          </w:p>
          <w:p w14:paraId="7D62826C">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③应急方案基本可行，基本有利于项目实施的得</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分； ④应急方案可行性差，不利于项目实施的得1分；</w:t>
            </w:r>
          </w:p>
          <w:p w14:paraId="4064227D">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⑤无</w:t>
            </w:r>
            <w:r>
              <w:rPr>
                <w:rFonts w:hint="eastAsia" w:ascii="Times New Roman" w:hAnsi="Times New Roman" w:eastAsia="仿宋_GB2312" w:cs="Times New Roman"/>
                <w:color w:val="auto"/>
                <w:sz w:val="24"/>
                <w:szCs w:val="24"/>
                <w:highlight w:val="none"/>
                <w:lang w:eastAsia="zh-CN"/>
              </w:rPr>
              <w:t>提供方案</w:t>
            </w:r>
            <w:r>
              <w:rPr>
                <w:rFonts w:hint="default" w:ascii="Times New Roman" w:hAnsi="Times New Roman" w:eastAsia="仿宋_GB2312" w:cs="Times New Roman"/>
                <w:color w:val="auto"/>
                <w:sz w:val="24"/>
                <w:szCs w:val="24"/>
                <w:highlight w:val="none"/>
              </w:rPr>
              <w:t>不得分。</w:t>
            </w:r>
          </w:p>
        </w:tc>
      </w:tr>
      <w:tr w14:paraId="419C3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86" w:hRule="atLeast"/>
          <w:jc w:val="center"/>
        </w:trPr>
        <w:tc>
          <w:tcPr>
            <w:tcW w:w="1185" w:type="dxa"/>
            <w:vAlign w:val="center"/>
          </w:tcPr>
          <w:p w14:paraId="7C9C80DA">
            <w:pPr>
              <w:keepNext w:val="0"/>
              <w:keepLines w:val="0"/>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商务部分</w:t>
            </w:r>
          </w:p>
        </w:tc>
        <w:tc>
          <w:tcPr>
            <w:tcW w:w="2480" w:type="dxa"/>
            <w:vAlign w:val="center"/>
          </w:tcPr>
          <w:p w14:paraId="77817C49">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业绩经验 (1</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分)</w:t>
            </w:r>
          </w:p>
        </w:tc>
        <w:tc>
          <w:tcPr>
            <w:tcW w:w="6053" w:type="dxa"/>
            <w:vAlign w:val="center"/>
          </w:tcPr>
          <w:p w14:paraId="2753DFC3">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具有与医疗机构</w:t>
            </w:r>
            <w:r>
              <w:rPr>
                <w:rFonts w:hint="default" w:ascii="Times New Roman" w:hAnsi="Times New Roman" w:eastAsia="仿宋_GB2312" w:cs="Times New Roman"/>
                <w:color w:val="auto"/>
                <w:sz w:val="24"/>
                <w:szCs w:val="24"/>
                <w:highlight w:val="none"/>
                <w:lang w:eastAsia="zh-CN"/>
              </w:rPr>
              <w:t>等</w:t>
            </w:r>
            <w:r>
              <w:rPr>
                <w:rFonts w:hint="default" w:ascii="Times New Roman" w:hAnsi="Times New Roman" w:eastAsia="仿宋_GB2312" w:cs="Times New Roman"/>
                <w:color w:val="auto"/>
                <w:sz w:val="24"/>
                <w:szCs w:val="24"/>
                <w:highlight w:val="none"/>
              </w:rPr>
              <w:t>签订的</w:t>
            </w:r>
            <w:r>
              <w:rPr>
                <w:rFonts w:hint="default" w:ascii="Times New Roman" w:hAnsi="Times New Roman" w:eastAsia="仿宋_GB2312" w:cs="Times New Roman"/>
                <w:color w:val="auto"/>
                <w:sz w:val="22"/>
                <w:szCs w:val="22"/>
                <w:highlight w:val="none"/>
              </w:rPr>
              <w:t>同类</w:t>
            </w:r>
            <w:r>
              <w:rPr>
                <w:rFonts w:hint="default" w:ascii="Times New Roman" w:hAnsi="Times New Roman" w:eastAsia="仿宋_GB2312" w:cs="Times New Roman"/>
                <w:color w:val="auto"/>
                <w:sz w:val="22"/>
                <w:szCs w:val="22"/>
                <w:highlight w:val="none"/>
                <w:lang w:eastAsia="zh-CN"/>
              </w:rPr>
              <w:t>设备销售或租赁服务</w:t>
            </w:r>
            <w:r>
              <w:rPr>
                <w:rFonts w:hint="default" w:ascii="Times New Roman" w:hAnsi="Times New Roman" w:eastAsia="仿宋_GB2312" w:cs="Times New Roman"/>
                <w:color w:val="auto"/>
                <w:sz w:val="22"/>
                <w:szCs w:val="22"/>
                <w:highlight w:val="none"/>
              </w:rPr>
              <w:t>项目业绩，</w:t>
            </w:r>
            <w:r>
              <w:rPr>
                <w:rFonts w:hint="default" w:ascii="Times New Roman" w:hAnsi="Times New Roman" w:eastAsia="仿宋_GB2312" w:cs="Times New Roman"/>
                <w:color w:val="auto"/>
                <w:sz w:val="24"/>
                <w:szCs w:val="24"/>
                <w:highlight w:val="none"/>
              </w:rPr>
              <w:t>每提供一份合同业绩得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分，本项</w:t>
            </w:r>
            <w:r>
              <w:rPr>
                <w:rFonts w:hint="default" w:ascii="Times New Roman" w:hAnsi="Times New Roman" w:eastAsia="仿宋_GB2312" w:cs="Times New Roman"/>
                <w:color w:val="auto"/>
                <w:sz w:val="24"/>
                <w:szCs w:val="24"/>
                <w:highlight w:val="none"/>
                <w:lang w:eastAsia="zh-CN"/>
              </w:rPr>
              <w:t>最高</w:t>
            </w:r>
            <w:r>
              <w:rPr>
                <w:rFonts w:hint="default" w:ascii="Times New Roman" w:hAnsi="Times New Roman" w:eastAsia="仿宋_GB2312" w:cs="Times New Roman"/>
                <w:color w:val="auto"/>
                <w:sz w:val="24"/>
                <w:szCs w:val="24"/>
                <w:highlight w:val="none"/>
              </w:rPr>
              <w:t>得1</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分。 注：需提供相关合同复印件或证明文件加盖</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公章</w:t>
            </w:r>
            <w:r>
              <w:rPr>
                <w:rFonts w:hint="default" w:ascii="Times New Roman" w:hAnsi="Times New Roman" w:eastAsia="仿宋_GB2312" w:cs="Times New Roman"/>
                <w:color w:val="auto"/>
                <w:sz w:val="24"/>
                <w:szCs w:val="24"/>
                <w:highlight w:val="none"/>
                <w:lang w:eastAsia="zh-CN"/>
              </w:rPr>
              <w:t>。</w:t>
            </w:r>
          </w:p>
        </w:tc>
      </w:tr>
      <w:tr w14:paraId="40422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8" w:hRule="atLeast"/>
          <w:jc w:val="center"/>
        </w:trPr>
        <w:tc>
          <w:tcPr>
            <w:tcW w:w="1185" w:type="dxa"/>
            <w:vAlign w:val="center"/>
          </w:tcPr>
          <w:p w14:paraId="0C81C5F8">
            <w:pPr>
              <w:keepNext w:val="0"/>
              <w:keepLines w:val="0"/>
              <w:pageBreakBefore w:val="0"/>
              <w:kinsoku/>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价格部分</w:t>
            </w:r>
          </w:p>
        </w:tc>
        <w:tc>
          <w:tcPr>
            <w:tcW w:w="2480" w:type="dxa"/>
            <w:vAlign w:val="center"/>
          </w:tcPr>
          <w:p w14:paraId="67B85F17">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报价得分 (</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0分)</w:t>
            </w:r>
          </w:p>
        </w:tc>
        <w:tc>
          <w:tcPr>
            <w:tcW w:w="6053" w:type="dxa"/>
            <w:vAlign w:val="center"/>
          </w:tcPr>
          <w:p w14:paraId="3AB4B7DC">
            <w:pPr>
              <w:keepNext w:val="0"/>
              <w:keepLines w:val="0"/>
              <w:pageBreakBefore w:val="0"/>
              <w:kinsoku/>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价格分计算方法：即满足</w:t>
            </w:r>
            <w:r>
              <w:rPr>
                <w:rFonts w:hint="default" w:ascii="Times New Roman" w:hAnsi="Times New Roman" w:eastAsia="仿宋_GB2312" w:cs="Times New Roman"/>
                <w:color w:val="auto"/>
                <w:sz w:val="24"/>
                <w:szCs w:val="24"/>
                <w:highlight w:val="none"/>
                <w:lang w:eastAsia="zh-CN"/>
              </w:rPr>
              <w:t>采购</w:t>
            </w:r>
            <w:r>
              <w:rPr>
                <w:rFonts w:hint="default" w:ascii="Times New Roman" w:hAnsi="Times New Roman" w:eastAsia="仿宋_GB2312" w:cs="Times New Roman"/>
                <w:color w:val="auto"/>
                <w:sz w:val="24"/>
                <w:szCs w:val="24"/>
                <w:highlight w:val="none"/>
              </w:rPr>
              <w:t>文件要求且最后报价最低的供应商的价格为</w:t>
            </w:r>
            <w:r>
              <w:rPr>
                <w:rFonts w:hint="default" w:ascii="Times New Roman" w:hAnsi="Times New Roman" w:eastAsia="仿宋_GB2312" w:cs="Times New Roman"/>
                <w:color w:val="auto"/>
                <w:sz w:val="24"/>
                <w:szCs w:val="24"/>
                <w:highlight w:val="none"/>
                <w:lang w:eastAsia="zh-CN"/>
              </w:rPr>
              <w:t>评标</w:t>
            </w:r>
            <w:r>
              <w:rPr>
                <w:rFonts w:hint="default" w:ascii="Times New Roman" w:hAnsi="Times New Roman" w:eastAsia="仿宋_GB2312" w:cs="Times New Roman"/>
                <w:color w:val="auto"/>
                <w:sz w:val="24"/>
                <w:szCs w:val="24"/>
                <w:highlight w:val="none"/>
              </w:rPr>
              <w:t>基准价，其价格分为满分。其他供应商的价格分统一按照下列公式计算：报价得分=（</w:t>
            </w:r>
            <w:r>
              <w:rPr>
                <w:rFonts w:hint="default" w:ascii="Times New Roman" w:hAnsi="Times New Roman" w:eastAsia="仿宋_GB2312" w:cs="Times New Roman"/>
                <w:color w:val="auto"/>
                <w:sz w:val="24"/>
                <w:szCs w:val="24"/>
                <w:highlight w:val="none"/>
                <w:lang w:eastAsia="zh-CN"/>
              </w:rPr>
              <w:t>评标</w:t>
            </w:r>
            <w:r>
              <w:rPr>
                <w:rFonts w:hint="default" w:ascii="Times New Roman" w:hAnsi="Times New Roman" w:eastAsia="仿宋_GB2312" w:cs="Times New Roman"/>
                <w:color w:val="auto"/>
                <w:sz w:val="24"/>
                <w:szCs w:val="24"/>
                <w:highlight w:val="none"/>
              </w:rPr>
              <w:t>基准价/最后报价）×价格权值（30%）×100</w:t>
            </w:r>
          </w:p>
        </w:tc>
      </w:tr>
    </w:tbl>
    <w:p w14:paraId="2B3C01F9">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kern w:val="2"/>
          <w:sz w:val="24"/>
          <w:szCs w:val="24"/>
          <w:highlight w:val="none"/>
          <w:lang w:val="en-US" w:eastAsia="zh-CN" w:bidi="ar-SA"/>
        </w:rPr>
      </w:pPr>
      <w:bookmarkStart w:id="0" w:name="_GoBack"/>
      <w:bookmarkEnd w:id="0"/>
    </w:p>
    <w:p w14:paraId="259EE97E">
      <w:pPr>
        <w:pStyle w:val="9"/>
        <w:widowControl/>
        <w:spacing w:before="0" w:beforeAutospacing="0" w:after="0" w:afterAutospacing="0" w:line="525" w:lineRule="atLeast"/>
        <w:ind w:firstLine="482" w:firstLineChars="200"/>
        <w:jc w:val="both"/>
        <w:textAlignment w:val="baseline"/>
        <w:rPr>
          <w:rFonts w:hint="default"/>
          <w:color w:val="FF0000"/>
          <w:lang w:val="en-US" w:eastAsia="zh-CN"/>
        </w:rPr>
      </w:pPr>
      <w:r>
        <w:rPr>
          <w:rFonts w:hint="eastAsia" w:ascii="宋体" w:hAnsi="宋体" w:eastAsia="宋体" w:cs="宋体"/>
          <w:b/>
          <w:bCs/>
          <w:color w:val="FF0000"/>
          <w:kern w:val="2"/>
          <w:sz w:val="24"/>
          <w:szCs w:val="24"/>
          <w:highlight w:val="none"/>
          <w:lang w:val="en-US" w:eastAsia="zh-CN" w:bidi="ar-SA"/>
        </w:rPr>
        <w:t>业务咨询电话：</w:t>
      </w:r>
      <w:r>
        <w:rPr>
          <w:rFonts w:hint="eastAsia" w:ascii="宋体" w:hAnsi="宋体" w:cs="宋体"/>
          <w:b/>
          <w:bCs/>
          <w:color w:val="FF0000"/>
          <w:lang w:val="en-US" w:eastAsia="zh-CN"/>
        </w:rPr>
        <w:t>谢工 18276318895</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00EE">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FA3465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8"/>
      <w:pBdr>
        <w:bottom w:val="none" w:color="auto" w:sz="0" w:space="1"/>
      </w:pBdr>
    </w:pPr>
  </w:p>
  <w:p w14:paraId="5A66576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decimalEnclosedCircle"/>
      <w:lvlText w:val="%2"/>
      <w:lvlJc w:val="left"/>
      <w:pPr>
        <w:ind w:left="107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026485"/>
    <w:rsid w:val="062C1325"/>
    <w:rsid w:val="073A22F8"/>
    <w:rsid w:val="07A11279"/>
    <w:rsid w:val="07B81B6D"/>
    <w:rsid w:val="07E60B27"/>
    <w:rsid w:val="07EE3CFB"/>
    <w:rsid w:val="07F14F50"/>
    <w:rsid w:val="07F25F78"/>
    <w:rsid w:val="0822382B"/>
    <w:rsid w:val="09151F1E"/>
    <w:rsid w:val="09C90A2F"/>
    <w:rsid w:val="09F82BD8"/>
    <w:rsid w:val="0BCB720C"/>
    <w:rsid w:val="0BFE313E"/>
    <w:rsid w:val="0C3A4FE9"/>
    <w:rsid w:val="0E463ABF"/>
    <w:rsid w:val="0EC306ED"/>
    <w:rsid w:val="0EEF6D6E"/>
    <w:rsid w:val="10CF5B6E"/>
    <w:rsid w:val="11830882"/>
    <w:rsid w:val="11D17ED8"/>
    <w:rsid w:val="122E5DFF"/>
    <w:rsid w:val="12597AE2"/>
    <w:rsid w:val="129A0FDE"/>
    <w:rsid w:val="12E82E96"/>
    <w:rsid w:val="12FB5DA0"/>
    <w:rsid w:val="137151BF"/>
    <w:rsid w:val="1379278A"/>
    <w:rsid w:val="142C2C0E"/>
    <w:rsid w:val="14800488"/>
    <w:rsid w:val="14895A12"/>
    <w:rsid w:val="14E663F7"/>
    <w:rsid w:val="151E03AD"/>
    <w:rsid w:val="15875F52"/>
    <w:rsid w:val="159D6DFE"/>
    <w:rsid w:val="15E806E1"/>
    <w:rsid w:val="162F2EF2"/>
    <w:rsid w:val="1658332D"/>
    <w:rsid w:val="18A137CE"/>
    <w:rsid w:val="198E16E5"/>
    <w:rsid w:val="1A295685"/>
    <w:rsid w:val="1A935399"/>
    <w:rsid w:val="1AFD55F7"/>
    <w:rsid w:val="1C3C313A"/>
    <w:rsid w:val="1C6A58C9"/>
    <w:rsid w:val="1D8316F5"/>
    <w:rsid w:val="1E944C8E"/>
    <w:rsid w:val="1F1D7927"/>
    <w:rsid w:val="203C5455"/>
    <w:rsid w:val="20503FE2"/>
    <w:rsid w:val="21AA129F"/>
    <w:rsid w:val="22342FBD"/>
    <w:rsid w:val="24211A62"/>
    <w:rsid w:val="24C67B71"/>
    <w:rsid w:val="257F78DA"/>
    <w:rsid w:val="25AD5ED9"/>
    <w:rsid w:val="268838D8"/>
    <w:rsid w:val="26C01E86"/>
    <w:rsid w:val="27BF04F5"/>
    <w:rsid w:val="2A8C0727"/>
    <w:rsid w:val="2B316BDF"/>
    <w:rsid w:val="2B852ADC"/>
    <w:rsid w:val="2C2B5431"/>
    <w:rsid w:val="2C441138"/>
    <w:rsid w:val="2C9D0835"/>
    <w:rsid w:val="2CB52F4D"/>
    <w:rsid w:val="2D446048"/>
    <w:rsid w:val="2E2319FE"/>
    <w:rsid w:val="2E6B420B"/>
    <w:rsid w:val="2F8817E4"/>
    <w:rsid w:val="30E3277E"/>
    <w:rsid w:val="314500CD"/>
    <w:rsid w:val="31833AED"/>
    <w:rsid w:val="31AB42A8"/>
    <w:rsid w:val="31CC5263"/>
    <w:rsid w:val="31EF3421"/>
    <w:rsid w:val="327F3AF2"/>
    <w:rsid w:val="343A08A1"/>
    <w:rsid w:val="35F941BF"/>
    <w:rsid w:val="37D34534"/>
    <w:rsid w:val="389A1AD2"/>
    <w:rsid w:val="39555054"/>
    <w:rsid w:val="395F289E"/>
    <w:rsid w:val="3A777A93"/>
    <w:rsid w:val="3ACD3F0C"/>
    <w:rsid w:val="3BA40065"/>
    <w:rsid w:val="3C5E6167"/>
    <w:rsid w:val="3DC63DD4"/>
    <w:rsid w:val="3E1F291C"/>
    <w:rsid w:val="3E5327FA"/>
    <w:rsid w:val="408178BE"/>
    <w:rsid w:val="40B57568"/>
    <w:rsid w:val="41A64D43"/>
    <w:rsid w:val="41E1690C"/>
    <w:rsid w:val="421E65B4"/>
    <w:rsid w:val="425C3523"/>
    <w:rsid w:val="4307060E"/>
    <w:rsid w:val="43B558CD"/>
    <w:rsid w:val="443A1C83"/>
    <w:rsid w:val="443E0139"/>
    <w:rsid w:val="44E34970"/>
    <w:rsid w:val="4612772E"/>
    <w:rsid w:val="46651DB1"/>
    <w:rsid w:val="47AA2BDE"/>
    <w:rsid w:val="48A13641"/>
    <w:rsid w:val="48CA7C39"/>
    <w:rsid w:val="49DF7DA8"/>
    <w:rsid w:val="4A080708"/>
    <w:rsid w:val="4AE478DC"/>
    <w:rsid w:val="4BAC736E"/>
    <w:rsid w:val="4D797130"/>
    <w:rsid w:val="4DC55179"/>
    <w:rsid w:val="4F5355E3"/>
    <w:rsid w:val="4F6168FA"/>
    <w:rsid w:val="500A0693"/>
    <w:rsid w:val="503206B3"/>
    <w:rsid w:val="507C07EB"/>
    <w:rsid w:val="51984BC8"/>
    <w:rsid w:val="523B0FB2"/>
    <w:rsid w:val="528C1291"/>
    <w:rsid w:val="52AC28C2"/>
    <w:rsid w:val="54E36DB4"/>
    <w:rsid w:val="54F00DE8"/>
    <w:rsid w:val="558673D7"/>
    <w:rsid w:val="566248C5"/>
    <w:rsid w:val="56A95510"/>
    <w:rsid w:val="577F3F4E"/>
    <w:rsid w:val="57837F9B"/>
    <w:rsid w:val="58913E19"/>
    <w:rsid w:val="58AA2E8C"/>
    <w:rsid w:val="58FC1D80"/>
    <w:rsid w:val="5A276988"/>
    <w:rsid w:val="5A652BEC"/>
    <w:rsid w:val="5AC86680"/>
    <w:rsid w:val="5B26349D"/>
    <w:rsid w:val="5B9B684D"/>
    <w:rsid w:val="5BE22353"/>
    <w:rsid w:val="5C8F5E7A"/>
    <w:rsid w:val="5CBF3F71"/>
    <w:rsid w:val="5D235B2D"/>
    <w:rsid w:val="5D612426"/>
    <w:rsid w:val="5DEA1D56"/>
    <w:rsid w:val="5E031E3F"/>
    <w:rsid w:val="5E3C0093"/>
    <w:rsid w:val="5E426F90"/>
    <w:rsid w:val="5EBA113D"/>
    <w:rsid w:val="5EED0FE7"/>
    <w:rsid w:val="60AF592A"/>
    <w:rsid w:val="612B420C"/>
    <w:rsid w:val="61AD3BB7"/>
    <w:rsid w:val="62473119"/>
    <w:rsid w:val="634E31D8"/>
    <w:rsid w:val="64C706D9"/>
    <w:rsid w:val="669F62C6"/>
    <w:rsid w:val="67E1286C"/>
    <w:rsid w:val="6A3F27B5"/>
    <w:rsid w:val="6AAB0F10"/>
    <w:rsid w:val="6B1E5923"/>
    <w:rsid w:val="6C5B6498"/>
    <w:rsid w:val="6D374CDD"/>
    <w:rsid w:val="6E6C2921"/>
    <w:rsid w:val="6E893313"/>
    <w:rsid w:val="6F1951F7"/>
    <w:rsid w:val="7064042F"/>
    <w:rsid w:val="70726943"/>
    <w:rsid w:val="73A1489D"/>
    <w:rsid w:val="73DE2356"/>
    <w:rsid w:val="74887379"/>
    <w:rsid w:val="74DD616A"/>
    <w:rsid w:val="75B01B84"/>
    <w:rsid w:val="75EF084A"/>
    <w:rsid w:val="769B008A"/>
    <w:rsid w:val="76A07D97"/>
    <w:rsid w:val="76F973A4"/>
    <w:rsid w:val="76FF4669"/>
    <w:rsid w:val="77DE74AD"/>
    <w:rsid w:val="79580A93"/>
    <w:rsid w:val="797773A6"/>
    <w:rsid w:val="79C13AEC"/>
    <w:rsid w:val="7A1B7E60"/>
    <w:rsid w:val="7B0F7299"/>
    <w:rsid w:val="7BF250D4"/>
    <w:rsid w:val="7C321491"/>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w:basedOn w:val="1"/>
    <w:autoRedefine/>
    <w:qFormat/>
    <w:uiPriority w:val="1"/>
    <w:rPr>
      <w:rFonts w:ascii="宋体" w:hAnsi="宋体" w:eastAsia="宋体" w:cs="宋体"/>
      <w:sz w:val="28"/>
      <w:szCs w:val="28"/>
      <w:lang w:val="zh-CN" w:eastAsia="zh-CN" w:bidi="zh-CN"/>
    </w:rPr>
  </w:style>
  <w:style w:type="paragraph" w:styleId="5">
    <w:name w:val="Body Text Indent"/>
    <w:basedOn w:val="1"/>
    <w:next w:val="1"/>
    <w:qFormat/>
    <w:uiPriority w:val="0"/>
    <w:pPr>
      <w:spacing w:line="200" w:lineRule="exact"/>
      <w:ind w:firstLine="301"/>
    </w:pPr>
    <w:rPr>
      <w:rFonts w:ascii="宋体" w:hAnsi="Courier New"/>
      <w:spacing w:val="-4"/>
      <w:sz w:val="18"/>
      <w:szCs w:val="20"/>
    </w:rPr>
  </w:style>
  <w:style w:type="paragraph" w:styleId="6">
    <w:name w:val="Plain Text"/>
    <w:basedOn w:val="1"/>
    <w:qFormat/>
    <w:uiPriority w:val="0"/>
    <w:rPr>
      <w:rFonts w:ascii="宋体" w:hAnsi="Courier New"/>
      <w:szCs w:val="20"/>
    </w:rPr>
  </w:style>
  <w:style w:type="paragraph" w:styleId="7">
    <w:name w:val="footer"/>
    <w:basedOn w:val="1"/>
    <w:link w:val="20"/>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autoRedefine/>
    <w:qFormat/>
    <w:uiPriority w:val="10"/>
    <w:pPr>
      <w:spacing w:before="240" w:after="60"/>
      <w:jc w:val="center"/>
      <w:outlineLvl w:val="0"/>
    </w:pPr>
    <w:rPr>
      <w:rFonts w:ascii="Cambria" w:hAnsi="Cambria"/>
      <w:b/>
      <w:bCs/>
      <w:sz w:val="32"/>
      <w:szCs w:val="32"/>
    </w:rPr>
  </w:style>
  <w:style w:type="paragraph" w:styleId="11">
    <w:name w:val="Body Text First Indent 2"/>
    <w:basedOn w:val="5"/>
    <w:next w:val="1"/>
    <w:unhideWhenUsed/>
    <w:qFormat/>
    <w:uiPriority w:val="99"/>
    <w:pPr>
      <w:ind w:firstLine="0"/>
    </w:pPr>
    <w:rPr>
      <w:rFonts w:hint="eastAsia" w:ascii="Times New Roman" w:hAnsi="Times New Roman"/>
      <w:sz w:val="2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paragraph" w:customStyle="1" w:styleId="16">
    <w:name w:val="首行缩进"/>
    <w:basedOn w:val="1"/>
    <w:qFormat/>
    <w:uiPriority w:val="0"/>
    <w:pPr>
      <w:ind w:firstLine="480" w:firstLineChars="200"/>
    </w:pPr>
  </w:style>
  <w:style w:type="paragraph" w:customStyle="1" w:styleId="17">
    <w:name w:val="表格文字"/>
    <w:basedOn w:val="1"/>
    <w:autoRedefine/>
    <w:qFormat/>
    <w:uiPriority w:val="99"/>
    <w:pPr>
      <w:spacing w:before="25" w:after="25"/>
      <w:jc w:val="left"/>
    </w:pPr>
    <w:rPr>
      <w:bCs/>
      <w:spacing w:val="10"/>
      <w:kern w:val="0"/>
      <w:sz w:val="24"/>
    </w:rPr>
  </w:style>
  <w:style w:type="paragraph" w:customStyle="1" w:styleId="18">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9">
    <w:name w:val="页眉 字符"/>
    <w:basedOn w:val="14"/>
    <w:link w:val="8"/>
    <w:autoRedefine/>
    <w:semiHidden/>
    <w:qFormat/>
    <w:uiPriority w:val="99"/>
    <w:rPr>
      <w:sz w:val="18"/>
      <w:szCs w:val="18"/>
    </w:rPr>
  </w:style>
  <w:style w:type="character" w:customStyle="1" w:styleId="20">
    <w:name w:val="页脚 字符"/>
    <w:basedOn w:val="14"/>
    <w:link w:val="7"/>
    <w:autoRedefine/>
    <w:semiHidden/>
    <w:qFormat/>
    <w:uiPriority w:val="99"/>
    <w:rPr>
      <w:sz w:val="18"/>
      <w:szCs w:val="18"/>
    </w:rPr>
  </w:style>
  <w:style w:type="paragraph" w:styleId="21">
    <w:name w:val="List Paragraph"/>
    <w:basedOn w:val="1"/>
    <w:autoRedefine/>
    <w:qFormat/>
    <w:uiPriority w:val="1"/>
    <w:pPr>
      <w:ind w:left="400" w:hanging="281"/>
    </w:pPr>
    <w:rPr>
      <w:rFonts w:ascii="宋体" w:hAnsi="宋体" w:eastAsia="宋体" w:cs="宋体"/>
      <w:lang w:val="zh-CN" w:eastAsia="zh-CN" w:bidi="zh-CN"/>
    </w:rPr>
  </w:style>
  <w:style w:type="character" w:customStyle="1" w:styleId="22">
    <w:name w:val="font61"/>
    <w:basedOn w:val="14"/>
    <w:autoRedefine/>
    <w:qFormat/>
    <w:uiPriority w:val="0"/>
    <w:rPr>
      <w:rFonts w:hint="eastAsia" w:ascii="宋体" w:hAnsi="宋体" w:eastAsia="宋体" w:cs="宋体"/>
      <w:b/>
      <w:bCs/>
      <w:color w:val="000000"/>
      <w:sz w:val="28"/>
      <w:szCs w:val="28"/>
      <w:u w:val="none"/>
    </w:rPr>
  </w:style>
  <w:style w:type="paragraph" w:customStyle="1" w:styleId="23">
    <w:name w:val="列出段落1"/>
    <w:basedOn w:val="1"/>
    <w:autoRedefine/>
    <w:qFormat/>
    <w:uiPriority w:val="34"/>
    <w:pPr>
      <w:ind w:firstLine="420" w:firstLineChars="200"/>
    </w:pPr>
  </w:style>
  <w:style w:type="paragraph" w:customStyle="1" w:styleId="24">
    <w:name w:val="p0"/>
    <w:basedOn w:val="1"/>
    <w:qFormat/>
    <w:uiPriority w:val="0"/>
    <w:pPr>
      <w:widowControl/>
    </w:pPr>
    <w:rPr>
      <w:kern w:val="0"/>
      <w:szCs w:val="21"/>
    </w:rPr>
  </w:style>
  <w:style w:type="paragraph" w:customStyle="1" w:styleId="25">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6">
    <w:name w:val="NormalCharacter"/>
    <w:qFormat/>
    <w:uiPriority w:val="0"/>
    <w:rPr>
      <w:rFonts w:ascii="Calibri" w:hAnsi="Calibri" w:eastAsia="宋体" w:cs="Times New Roman"/>
      <w:kern w:val="2"/>
      <w:sz w:val="21"/>
      <w:szCs w:val="24"/>
      <w:lang w:val="en-US" w:eastAsia="zh-CN" w:bidi="ar-SA"/>
    </w:rPr>
  </w:style>
  <w:style w:type="character" w:customStyle="1" w:styleId="27">
    <w:name w:val="font11"/>
    <w:basedOn w:val="14"/>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1640</Words>
  <Characters>1756</Characters>
  <Lines>18</Lines>
  <Paragraphs>5</Paragraphs>
  <TotalTime>0</TotalTime>
  <ScaleCrop>false</ScaleCrop>
  <LinksUpToDate>false</LinksUpToDate>
  <CharactersWithSpaces>1785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2025-08-15T00:16:26Z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