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项目：55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手术辅助照明灯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项目：56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电动直立床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项目：57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电解质血气分析仪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72B4D5A7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项目55：</w:t>
      </w:r>
      <w:r>
        <w:rPr>
          <w:rFonts w:hint="eastAsia"/>
          <w:sz w:val="21"/>
          <w:szCs w:val="21"/>
          <w:lang w:val="en-US" w:eastAsia="zh-CN"/>
        </w:rPr>
        <w:t>手术辅助照明灯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320FE7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1、采用高等级的医用LED颗粒，实现了精准高效的光能输出；</w:t>
      </w:r>
    </w:p>
    <w:p w14:paraId="1DD895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2、日光品质、色彩还原性好，显色性高满足手术辅助照明对光照的需求；</w:t>
      </w:r>
    </w:p>
    <w:p w14:paraId="37C75D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3、采用透镜系统，光照均匀，清晰度高、光照立体效果更强；</w:t>
      </w:r>
    </w:p>
    <w:p w14:paraId="1B56B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4、采用恒流电源驱动，安全精准，保持准确的色温；</w:t>
      </w:r>
    </w:p>
    <w:p w14:paraId="056EA8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、基本技术参数：</w:t>
      </w:r>
    </w:p>
    <w:p w14:paraId="6ACBBF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.1、灯头直径（mm）：400±10；</w:t>
      </w:r>
    </w:p>
    <w:p w14:paraId="0A0A21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.2、灯体绕横臂左右转动角度：≥180°；</w:t>
      </w:r>
    </w:p>
    <w:p w14:paraId="720606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.3、灯体绕叉臂上下摆动角度：≥180°；</w:t>
      </w:r>
    </w:p>
    <w:p w14:paraId="05F2D0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.4、光源类型：LED；</w:t>
      </w:r>
    </w:p>
    <w:p w14:paraId="51E6AF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.5、灯臂升降范围(mm)：≥600；</w:t>
      </w:r>
    </w:p>
    <w:p w14:paraId="25CF3D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.6、中心照度（LUX）：11000；</w:t>
      </w:r>
    </w:p>
    <w:p w14:paraId="3B1F50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.7、色温（K）：4300±800；</w:t>
      </w:r>
    </w:p>
    <w:p w14:paraId="5DE8C3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.8、显色指数（Ra)：≥97；</w:t>
      </w:r>
    </w:p>
    <w:p w14:paraId="57A517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.9、光斑直径（mm）：≥220；</w:t>
      </w:r>
    </w:p>
    <w:p w14:paraId="337611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.10、聚焦深度（mm）：≥850；</w:t>
      </w:r>
    </w:p>
    <w:p w14:paraId="037E53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.11、灯泡平均寿命（H）：50000；</w:t>
      </w:r>
    </w:p>
    <w:p w14:paraId="1E37D4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.12、LED颗粒数量（个）：</w:t>
      </w: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25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；</w:t>
      </w:r>
    </w:p>
    <w:p w14:paraId="2F927E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、基本配置：</w:t>
      </w:r>
    </w:p>
    <w:p w14:paraId="10FCF2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.1、灯头：1个；</w:t>
      </w:r>
    </w:p>
    <w:p w14:paraId="18F756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.2、灯臂：1套；</w:t>
      </w:r>
    </w:p>
    <w:p w14:paraId="5AB67A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.3、立杆：1根；</w:t>
      </w:r>
    </w:p>
    <w:p w14:paraId="38CC59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.4、移动型底座：1个；</w:t>
      </w:r>
    </w:p>
    <w:p w14:paraId="0E4A34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.5、手柄：1个。</w:t>
      </w:r>
    </w:p>
    <w:p w14:paraId="1532973A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项目56：</w:t>
      </w:r>
      <w:r>
        <w:rPr>
          <w:rFonts w:hint="eastAsia"/>
          <w:sz w:val="21"/>
          <w:szCs w:val="21"/>
          <w:lang w:val="en-US" w:eastAsia="zh-CN"/>
        </w:rPr>
        <w:t>电动直立床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7B8B3D38">
      <w:pPr>
        <w:pStyle w:val="7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78EDF11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1、电源:a.c.220V;频率:50Hz。</w:t>
      </w:r>
      <w:bookmarkStart w:id="0" w:name="_GoBack"/>
      <w:bookmarkEnd w:id="0"/>
    </w:p>
    <w:p w14:paraId="168EA0C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2、额定输入功率：120VA。</w:t>
      </w:r>
    </w:p>
    <w:p w14:paraId="0160DC2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3、控制方式:手柄点动控制。</w:t>
      </w:r>
    </w:p>
    <w:p w14:paraId="760E733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4、床面高度:550mm，允差±50mm。</w:t>
      </w:r>
    </w:p>
    <w:p w14:paraId="1CF1CE9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5、外形尺寸:2100x780x840mm，允差±50mm。</w:t>
      </w:r>
    </w:p>
    <w:p w14:paraId="1887092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6、床面直立角度:0°~90°可调，允差±5°。</w:t>
      </w:r>
    </w:p>
    <w:p w14:paraId="72A9625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7、脚踏板上下调整角度:背屈0°~20°，跖屈0°~30°，允差±3°。</w:t>
      </w:r>
    </w:p>
    <w:p w14:paraId="0F643B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脚踏板内外调整角度:内翻0°~30°，外翻0°~30°，允差±3°</w:t>
      </w:r>
    </w:p>
    <w:p w14:paraId="7BEBC12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组成:床架、床面、扶手桌面、固定带、脚踏板、手控装置组成。</w:t>
      </w:r>
    </w:p>
    <w:p w14:paraId="77FB67F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床面额定载荷:135kg，允差±10kg。</w:t>
      </w:r>
    </w:p>
    <w:p w14:paraId="3B708F2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10、脚踏板可上下、左右角度调节，根据不同的脚踝关节的角度进行康复训练使患者有更舒适的脚位。</w:t>
      </w:r>
    </w:p>
    <w:p w14:paraId="615A13E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11、配备4个脚轮通过脚踏四联动装置锁定，压下脚踏四联动装置床面上升，四个脚轮着地，升起脚踏四联动装置床面下降，四个脚轮升起锁止。</w:t>
      </w:r>
    </w:p>
    <w:p w14:paraId="3404C5C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12、配备有手柄，方便对床面进行升降控制。</w:t>
      </w:r>
    </w:p>
    <w:p w14:paraId="14789C7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13、床面采用优质医疗专用皮革环保、防潮、防菌、防火材料。</w:t>
      </w:r>
    </w:p>
    <w:p w14:paraId="2BC746A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14、配备支腿调节地脚，方便对床体进行调整。</w:t>
      </w:r>
    </w:p>
    <w:p w14:paraId="2001E4B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15、扶手桌面:可上下前后调节，方便患者使用。</w:t>
      </w:r>
    </w:p>
    <w:p w14:paraId="4A4075B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项目57：</w:t>
      </w:r>
      <w:r>
        <w:rPr>
          <w:rFonts w:hint="eastAsia"/>
          <w:sz w:val="21"/>
          <w:szCs w:val="21"/>
          <w:lang w:val="en-US" w:eastAsia="zh-CN"/>
        </w:rPr>
        <w:t>电解质血气分析仪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拟购数量：1</w:t>
      </w:r>
    </w:p>
    <w:p w14:paraId="3A6CB6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60D5C213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测试项目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至少包括</w:t>
      </w:r>
      <w:r>
        <w:rPr>
          <w:rFonts w:ascii="宋体" w:hAnsi="宋体"/>
          <w:color w:val="000000"/>
          <w:sz w:val="21"/>
          <w:szCs w:val="21"/>
        </w:rPr>
        <w:t>：PH、PO2、PCO2、Na＋、K＋、CL-、Ca2+、Glu、Lac、nTBil、总血红蛋白，氧合血红蛋白，还原血红蛋白，碳氧血红蛋白，高铁血红蛋白，氧饱和度；                              </w:t>
      </w:r>
    </w:p>
    <w:p w14:paraId="6DC196F6">
      <w:pPr>
        <w:widowControl/>
        <w:spacing w:line="360" w:lineRule="exact"/>
        <w:rPr>
          <w:rFonts w:hint="eastAsia" w:ascii="宋体" w:hAnsi="宋体" w:cs="-webkit-standard"/>
          <w:color w:val="000000"/>
          <w:szCs w:val="21"/>
        </w:rPr>
      </w:pPr>
      <w:r>
        <w:rPr>
          <w:rFonts w:ascii="宋体" w:hAnsi="宋体"/>
          <w:color w:val="000000"/>
          <w:kern w:val="0"/>
          <w:szCs w:val="21"/>
          <w:lang w:bidi="ar"/>
        </w:rPr>
        <w:t>2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.</w:t>
      </w:r>
      <w:r>
        <w:rPr>
          <w:rFonts w:ascii="宋体" w:hAnsi="宋体"/>
          <w:color w:val="000000"/>
          <w:kern w:val="0"/>
          <w:szCs w:val="21"/>
          <w:lang w:bidi="ar"/>
        </w:rPr>
        <w:t>计算项目：BE、BEecf 、HCO3－act,HCO3_ std , O2SaT、PO2(A-a),PO2(a/A),TO2、O2CT，AG,Ca++(7.4），pO2/FiO2等, 测试+计算项目≥45项</w:t>
      </w:r>
    </w:p>
    <w:p w14:paraId="45D5A9FD">
      <w:pPr>
        <w:pStyle w:val="3"/>
        <w:widowControl/>
        <w:spacing w:line="360" w:lineRule="exact"/>
        <w:jc w:val="lef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3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测量范围: PO2:10.0 -700.0 mmHg,PCO2:5.0-200.0 mmHg,乳酸0.18-30mmol/L,Na+:100.0-200.0mmol/L,k+:0.50-15.00mmol/L,Ca2+:0.20-5.00 mmol/L,CL-:65 - 140 mmol/L,葡萄糖:20-750 mg/dL,总血红蛋白:2.0 - 25.0 g/dL,新生儿胆红素:2.0 - 30.0 mg/dL</w:t>
      </w:r>
    </w:p>
    <w:p w14:paraId="22E2F330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4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样本类型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至少包括</w:t>
      </w:r>
      <w:r>
        <w:rPr>
          <w:rFonts w:ascii="宋体" w:hAnsi="宋体"/>
          <w:color w:val="000000"/>
          <w:sz w:val="21"/>
          <w:szCs w:val="21"/>
        </w:rPr>
        <w:t>：动脉、静脉、动静脉混合血、透析液、胸腹水</w:t>
      </w:r>
    </w:p>
    <w:p w14:paraId="786C510A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5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最低用血量≤100uL</w:t>
      </w:r>
    </w:p>
    <w:p w14:paraId="67F62191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6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上样到打印检测报告≤60秒</w:t>
      </w:r>
    </w:p>
    <w:p w14:paraId="0D623E0D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7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至少</w:t>
      </w:r>
      <w:r>
        <w:rPr>
          <w:rFonts w:ascii="宋体" w:hAnsi="宋体"/>
          <w:color w:val="000000"/>
          <w:sz w:val="21"/>
          <w:szCs w:val="21"/>
        </w:rPr>
        <w:t>有三种类型的试剂供选择——一体化测试试剂盒、全自动质控试剂盒、一体化清洗试剂盒</w:t>
      </w:r>
    </w:p>
    <w:p w14:paraId="68F182B5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8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总试剂效期不低于6个月——货架效期不低于5个月；试剂盒安装后在机有效期不低于28天，且使用简单，无需更换电极卡</w:t>
      </w:r>
    </w:p>
    <w:p w14:paraId="4B4934BF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9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试剂盒初始化时间：试剂盒上机后能够在不超过25分钟时间内自动完成初始化。</w:t>
      </w:r>
    </w:p>
    <w:p w14:paraId="6E9B8181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10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仪器支持通过Levey-jennings质控图判断质量控制效果</w:t>
      </w:r>
    </w:p>
    <w:p w14:paraId="4F3B7D5E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11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具备完善的定标机制，能够通过不低于4种不同类型的定标模式；确保检测结果的准确性</w:t>
      </w:r>
    </w:p>
    <w:p w14:paraId="02794495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12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定标能够覆盖所有检测项目，tHb、胆红素无需单独定标</w:t>
      </w:r>
    </w:p>
    <w:p w14:paraId="696872C1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13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读码器：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需</w:t>
      </w:r>
      <w:r>
        <w:rPr>
          <w:rFonts w:ascii="宋体" w:hAnsi="宋体"/>
          <w:color w:val="000000"/>
          <w:sz w:val="21"/>
          <w:szCs w:val="21"/>
        </w:rPr>
        <w:t>内置条码阅读器，兼容一维及二维码扫描，能够免提扫描</w:t>
      </w:r>
    </w:p>
    <w:p w14:paraId="07973D5A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14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需</w:t>
      </w:r>
      <w:r>
        <w:rPr>
          <w:rFonts w:ascii="宋体" w:hAnsi="宋体"/>
          <w:color w:val="000000"/>
          <w:sz w:val="21"/>
          <w:szCs w:val="21"/>
        </w:rPr>
        <w:t>采用市面上最主流、最先进的PC端操作系统——Microsoft Win10</w:t>
      </w:r>
    </w:p>
    <w:p w14:paraId="5D31864F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15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进样方式：全自动平行抽吸式进样，无需手持进样，能够最大程度保护操作员安全</w:t>
      </w:r>
    </w:p>
    <w:p w14:paraId="2FC309DF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16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仪器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需</w:t>
      </w:r>
      <w:r>
        <w:rPr>
          <w:rFonts w:ascii="宋体" w:hAnsi="宋体"/>
          <w:color w:val="000000"/>
          <w:sz w:val="21"/>
          <w:szCs w:val="21"/>
        </w:rPr>
        <w:t>自带杀毒软件，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以</w:t>
      </w:r>
      <w:r>
        <w:rPr>
          <w:rFonts w:ascii="宋体" w:hAnsi="宋体"/>
          <w:color w:val="000000"/>
          <w:sz w:val="21"/>
          <w:szCs w:val="21"/>
        </w:rPr>
        <w:t>保护患者数据安全</w:t>
      </w:r>
    </w:p>
    <w:p w14:paraId="73044471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17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进样器的种类：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至少</w:t>
      </w:r>
      <w:r>
        <w:rPr>
          <w:rFonts w:ascii="宋体" w:hAnsi="宋体"/>
          <w:color w:val="000000"/>
          <w:sz w:val="21"/>
          <w:szCs w:val="21"/>
        </w:rPr>
        <w:t>可连接注射器和毛细管，无需适配器</w:t>
      </w:r>
    </w:p>
    <w:p w14:paraId="584F4144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18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可以设置使用操作员ID和PIN码进行双重识别，提升仪器安全性</w:t>
      </w:r>
    </w:p>
    <w:p w14:paraId="21865A7B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19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能够在不低于4000米的恶劣环境下进行仪器作业</w:t>
      </w:r>
    </w:p>
    <w:p w14:paraId="79F1B348">
      <w:pPr>
        <w:pStyle w:val="3"/>
        <w:widowControl/>
        <w:spacing w:line="360" w:lineRule="exact"/>
        <w:rPr>
          <w:rFonts w:hint="eastAsia" w:ascii="宋体" w:hAnsi="宋体" w:cs="-webkit-standard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20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针对常见的干扰物质，仪器能够自动检测并进行弹窗提示，避免报告错误结果</w:t>
      </w:r>
    </w:p>
    <w:p w14:paraId="4CFCDF5A">
      <w:pPr>
        <w:pStyle w:val="3"/>
        <w:widowControl/>
        <w:spacing w:line="360" w:lineRule="exact"/>
        <w:rPr>
          <w:rFonts w:hint="eastAsia" w:ascii="宋体" w:hAnsi="宋体" w:eastAsia="宋体" w:cs="-webkit-standard"/>
          <w:color w:val="000000"/>
          <w:sz w:val="21"/>
          <w:szCs w:val="21"/>
          <w:lang w:eastAsia="zh-CN"/>
        </w:rPr>
      </w:pPr>
      <w:r>
        <w:rPr>
          <w:rFonts w:ascii="宋体" w:hAnsi="宋体"/>
          <w:color w:val="000000"/>
          <w:sz w:val="21"/>
          <w:szCs w:val="21"/>
        </w:rPr>
        <w:t>21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ascii="宋体" w:hAnsi="宋体"/>
          <w:color w:val="000000"/>
          <w:sz w:val="21"/>
          <w:szCs w:val="21"/>
        </w:rPr>
        <w:t>配备不低于10英寸的全彩触控屏；可以调节屏幕角度和亮度，以适应不同的使用习惯和需求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 w14:paraId="51F2F9B7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B1DEE"/>
    <w:multiLevelType w:val="singleLevel"/>
    <w:tmpl w:val="524B1DEE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631D684B"/>
    <w:rsid w:val="671465AA"/>
    <w:rsid w:val="6AA0107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8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947</Words>
  <Characters>1061</Characters>
  <Lines>0</Lines>
  <Paragraphs>0</Paragraphs>
  <TotalTime>0</TotalTime>
  <ScaleCrop>false</ScaleCrop>
  <LinksUpToDate>false</LinksUpToDate>
  <CharactersWithSpaces>1102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2025-08-28T02:25:23Z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