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3B13">
      <w:pPr>
        <w:numPr>
          <w:ilvl w:val="0"/>
          <w:numId w:val="1"/>
        </w:numPr>
        <w:rPr>
          <w:rFonts w:hint="eastAsia"/>
          <w:b/>
          <w:bCs/>
          <w:color w:val="auto"/>
          <w:sz w:val="30"/>
          <w:szCs w:val="30"/>
          <w:highlight w:val="none"/>
          <w:lang w:val="en-US" w:eastAsia="zh-CN"/>
        </w:rPr>
      </w:pPr>
      <w:r>
        <w:rPr>
          <w:rFonts w:hint="eastAsia"/>
          <w:b/>
          <w:bCs/>
          <w:color w:val="auto"/>
          <w:sz w:val="30"/>
          <w:szCs w:val="30"/>
          <w:highlight w:val="none"/>
          <w:lang w:val="en-US" w:eastAsia="zh-CN"/>
        </w:rPr>
        <w:t>项目背景</w:t>
      </w:r>
    </w:p>
    <w:p w14:paraId="3ABBC01B">
      <w:pPr>
        <w:spacing w:line="360" w:lineRule="auto"/>
        <w:ind w:firstLine="42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国常见慢性病主要有心脑血管疾病、糖尿病、恶性肿瘤、慢性呼吸系统疾病等。慢性病发生和流行与经济社会、生态环境、文化习俗和生活方式等因素密切相关。伴随工业化、城镇化、老龄化进程加快，我国慢性病发病人数快速上升，现有确诊患者2.6亿人，是重大的公共卫生问题。慢性病病程长、流行广、费用贵、致残致死率高。慢性病导致的死亡已经占到我国总死亡的85%，导致的疾病负担已占总疾病负担的70%，是群众因病致贫返贫的重要原因，若不及时有效控制，将带来严重的社会经济问题。</w:t>
      </w:r>
    </w:p>
    <w:p w14:paraId="662A7436">
      <w:pPr>
        <w:spacing w:line="360" w:lineRule="auto"/>
        <w:ind w:firstLine="42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《“健康中国2030”规划纲要》</w:t>
      </w:r>
      <w:r>
        <w:rPr>
          <w:rFonts w:hint="eastAsia" w:cs="宋体" w:asciiTheme="minorEastAsia" w:hAnsiTheme="minorEastAsia" w:eastAsiaTheme="minorEastAsia"/>
          <w:color w:val="auto"/>
          <w:sz w:val="24"/>
          <w:szCs w:val="24"/>
          <w:highlight w:val="none"/>
          <w:lang w:val="en-US" w:eastAsia="zh-CN"/>
        </w:rPr>
        <w:t>指出</w:t>
      </w:r>
      <w:r>
        <w:rPr>
          <w:rFonts w:hint="eastAsia" w:cs="宋体" w:asciiTheme="minorEastAsia" w:hAnsiTheme="minorEastAsia" w:eastAsiaTheme="minorEastAsia"/>
          <w:color w:val="auto"/>
          <w:sz w:val="24"/>
          <w:szCs w:val="24"/>
          <w:highlight w:val="none"/>
        </w:rPr>
        <w:t>，开展慢性病防治全民教育，倡导健康文明的生活方式，促进慢性病早期发现；开展个性化健康干预；落实分级诊疗制度，提高诊疗服务质量；加强慢性病防治机构和队伍能力建设，构建慢性病防治结合工作机制，建立健康管理长效工作机制；完善医保和救助政策，保障药品生产供应；控制危险因素，营造健康支持性环境；统筹社会资源，创新驱动健康服务业发展。</w:t>
      </w:r>
    </w:p>
    <w:p w14:paraId="13BBBFC5">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2023年5月，</w:t>
      </w:r>
      <w:r>
        <w:rPr>
          <w:rFonts w:hint="eastAsia" w:cs="宋体" w:asciiTheme="minorEastAsia" w:hAnsiTheme="minorEastAsia" w:eastAsiaTheme="minorEastAsia"/>
          <w:color w:val="auto"/>
          <w:sz w:val="24"/>
          <w:szCs w:val="24"/>
          <w:highlight w:val="none"/>
        </w:rPr>
        <w:t>国家卫生健康委、国家中医药局为进一步解决人民群众看病就医的急难愁盼问题，改善全过程的就医感受，提升患者体验，保障人民群众享有公立医院高质量发展成果，印发了《关于开展改善就医感受提升患者体验主题活动的通知》。提出以习近平新时代中国特色社会主义思想为指导，全面贯彻落实党的二十大精神，践行新发展理念，以切实改善人民群众看病就医感受为目标，坚持守正创新、问题导向、系统思维，全面梳理医疗服务流程，充分运用新手段、新技术、新模式，打通人民群众看病就医的堵点淤点难点。将“以病人为中心”贯穿于医疗服务各环节，整体提升医疗服务的舒适化、智慧化、数字化水平，推动形成流程更科学、模式更连续、服务更高效、环境更舒适、态度更体贴的中国式现代化医疗服务模式，人民群众就医获得感、幸福感、安全感进一步增强。</w:t>
      </w:r>
    </w:p>
    <w:p w14:paraId="376C0E99">
      <w:pPr>
        <w:numPr>
          <w:ilvl w:val="0"/>
          <w:numId w:val="0"/>
        </w:numPr>
        <w:rPr>
          <w:rFonts w:hint="eastAsia"/>
          <w:color w:val="auto"/>
          <w:highlight w:val="none"/>
          <w:lang w:val="en-US" w:eastAsia="zh-CN"/>
        </w:rPr>
      </w:pPr>
    </w:p>
    <w:p w14:paraId="61900F78">
      <w:pPr>
        <w:numPr>
          <w:ilvl w:val="0"/>
          <w:numId w:val="1"/>
        </w:numPr>
        <w:rPr>
          <w:rFonts w:hint="eastAsia"/>
          <w:b/>
          <w:bCs/>
          <w:color w:val="auto"/>
          <w:sz w:val="30"/>
          <w:szCs w:val="30"/>
          <w:highlight w:val="none"/>
          <w:lang w:val="en-US" w:eastAsia="zh-CN"/>
        </w:rPr>
      </w:pPr>
      <w:r>
        <w:rPr>
          <w:rFonts w:hint="eastAsia"/>
          <w:b/>
          <w:bCs/>
          <w:color w:val="auto"/>
          <w:sz w:val="30"/>
          <w:szCs w:val="30"/>
          <w:highlight w:val="none"/>
          <w:lang w:val="en-US" w:eastAsia="zh-CN"/>
        </w:rPr>
        <w:t>建设内容</w:t>
      </w:r>
    </w:p>
    <w:p w14:paraId="37AA9BC4">
      <w:pPr>
        <w:numPr>
          <w:ilvl w:val="0"/>
          <w:numId w:val="2"/>
        </w:numPr>
        <w:rPr>
          <w:rFonts w:hint="eastAsia"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2"/>
          <w:highlight w:val="none"/>
          <w:lang w:val="en-US" w:eastAsia="zh-CN" w:bidi="ar-SA"/>
        </w:rPr>
        <w:t>建设院内外一体精细化智能健康管理新模式：</w:t>
      </w:r>
      <w:r>
        <w:rPr>
          <w:rFonts w:hint="eastAsia" w:cs="宋体" w:asciiTheme="minorEastAsia" w:hAnsiTheme="minorEastAsia" w:eastAsiaTheme="minorEastAsia"/>
          <w:color w:val="auto"/>
          <w:sz w:val="24"/>
          <w:szCs w:val="24"/>
          <w:highlight w:val="none"/>
          <w:lang w:val="en-US" w:eastAsia="zh-CN"/>
        </w:rPr>
        <w:t>利用互联网医院平台，以健康管理、慢病管理为核心，打造从“体检 → 专科门诊→ 住院 → 家庭 → 再回院”全流程的院内院外防治管一站式服务体系。系统自动对接院内各科室慢病患者数据，为普通患者提供自动化健康管理服务，为高价值患者做专病个案管理等精细服务，实现全院患者的分层管理和个性化干预，既保障基础医疗服务的普惠性，又满足特需人群的精细化健康管理需求，最终达成提升复诊率、优化服务体验和塑造医院品牌的多重目标。</w:t>
      </w:r>
    </w:p>
    <w:p w14:paraId="7DD41BBB">
      <w:pPr>
        <w:numPr>
          <w:ilvl w:val="0"/>
          <w:numId w:val="2"/>
        </w:numP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b/>
          <w:bCs/>
          <w:color w:val="auto"/>
          <w:sz w:val="24"/>
          <w:szCs w:val="24"/>
          <w:highlight w:val="none"/>
          <w:lang w:val="en-US" w:eastAsia="zh-CN"/>
        </w:rPr>
        <w:t>推广中医药健康调养服务：</w:t>
      </w:r>
      <w:r>
        <w:rPr>
          <w:rFonts w:hint="eastAsia" w:cs="宋体" w:asciiTheme="minorEastAsia" w:hAnsiTheme="minorEastAsia" w:eastAsiaTheme="minorEastAsia"/>
          <w:color w:val="auto"/>
          <w:sz w:val="24"/>
          <w:szCs w:val="24"/>
          <w:highlight w:val="none"/>
          <w:lang w:val="en-US" w:eastAsia="zh-CN"/>
        </w:rPr>
        <w:t>通过系统中的中医特色评估服务为患者开展多样化的慢性病健康评估，推广中医养生文化，打造特色化的健康管理服务。</w:t>
      </w:r>
    </w:p>
    <w:p w14:paraId="6007BC02">
      <w:pPr>
        <w:numPr>
          <w:ilvl w:val="0"/>
          <w:numId w:val="2"/>
        </w:numP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b/>
          <w:bCs/>
          <w:color w:val="auto"/>
          <w:sz w:val="24"/>
          <w:szCs w:val="24"/>
          <w:highlight w:val="none"/>
          <w:lang w:val="en-US" w:eastAsia="zh-CN"/>
        </w:rPr>
        <w:t>开展健康管理特需服务</w:t>
      </w:r>
      <w:r>
        <w:rPr>
          <w:rFonts w:hint="eastAsia" w:cs="宋体" w:asciiTheme="minorEastAsia" w:hAnsiTheme="minorEastAsia" w:eastAsiaTheme="minorEastAsia"/>
          <w:color w:val="auto"/>
          <w:sz w:val="24"/>
          <w:szCs w:val="24"/>
          <w:highlight w:val="none"/>
          <w:lang w:val="en-US" w:eastAsia="zh-CN"/>
        </w:rPr>
        <w:t>：联合特需部，通过合理运用现有的收费目录，并结合健康管理干预、个性化服务、慢病管理、专病特需管理等服务的综合开展，提高科室创收。</w:t>
      </w:r>
    </w:p>
    <w:p w14:paraId="106D9E26">
      <w:pPr>
        <w:numPr>
          <w:ilvl w:val="0"/>
          <w:numId w:val="2"/>
        </w:numPr>
        <w:rPr>
          <w:rFonts w:hint="eastAsia" w:cs="宋体"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2"/>
          <w:highlight w:val="none"/>
          <w:lang w:val="en-US" w:eastAsia="zh-CN" w:bidi="ar-SA"/>
        </w:rPr>
        <w:t>多维度数据整合，支撑科研：</w:t>
      </w:r>
      <w:r>
        <w:rPr>
          <w:rFonts w:hint="eastAsia" w:cs="宋体" w:asciiTheme="minorEastAsia" w:hAnsiTheme="minorEastAsia" w:eastAsiaTheme="minorEastAsia"/>
          <w:color w:val="auto"/>
          <w:sz w:val="24"/>
          <w:szCs w:val="24"/>
          <w:highlight w:val="none"/>
        </w:rPr>
        <w:t>无缝对接</w:t>
      </w:r>
      <w:r>
        <w:rPr>
          <w:rFonts w:hint="eastAsia" w:cs="宋体" w:asciiTheme="minorEastAsia" w:hAnsiTheme="minorEastAsia" w:eastAsiaTheme="minorEastAsia"/>
          <w:color w:val="auto"/>
          <w:sz w:val="24"/>
          <w:szCs w:val="24"/>
          <w:highlight w:val="none"/>
          <w:lang w:val="en-US" w:eastAsia="zh-CN"/>
        </w:rPr>
        <w:t>集成平台、医联体、</w:t>
      </w:r>
      <w:r>
        <w:rPr>
          <w:rFonts w:hint="eastAsia" w:cs="宋体" w:asciiTheme="minorEastAsia" w:hAnsiTheme="minorEastAsia" w:eastAsiaTheme="minorEastAsia"/>
          <w:color w:val="auto"/>
          <w:sz w:val="24"/>
          <w:szCs w:val="24"/>
          <w:highlight w:val="none"/>
        </w:rPr>
        <w:t>HIS、LIS、PACS、EMR</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体检、电子签名</w:t>
      </w:r>
      <w:r>
        <w:rPr>
          <w:rFonts w:hint="eastAsia" w:cs="宋体" w:asciiTheme="minorEastAsia" w:hAnsiTheme="minorEastAsia" w:eastAsiaTheme="minorEastAsia"/>
          <w:color w:val="auto"/>
          <w:sz w:val="24"/>
          <w:szCs w:val="24"/>
          <w:highlight w:val="none"/>
        </w:rPr>
        <w:t>等核心业务系统，实现</w:t>
      </w:r>
      <w:r>
        <w:rPr>
          <w:rFonts w:hint="eastAsia" w:cs="宋体" w:asciiTheme="minorEastAsia" w:hAnsiTheme="minorEastAsia" w:eastAsiaTheme="minorEastAsia"/>
          <w:color w:val="auto"/>
          <w:sz w:val="24"/>
          <w:szCs w:val="24"/>
          <w:highlight w:val="none"/>
          <w:lang w:val="en-US" w:eastAsia="zh-CN"/>
        </w:rPr>
        <w:t>院内及区域</w:t>
      </w:r>
      <w:r>
        <w:rPr>
          <w:rFonts w:hint="eastAsia" w:cs="宋体" w:asciiTheme="minorEastAsia" w:hAnsiTheme="minorEastAsia" w:eastAsiaTheme="minorEastAsia"/>
          <w:color w:val="auto"/>
          <w:sz w:val="24"/>
          <w:szCs w:val="24"/>
          <w:highlight w:val="none"/>
        </w:rPr>
        <w:t>门诊/住院/体检数据的实时采集与标准化处理</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院内院外多维数据整合，支持科研与决策。</w:t>
      </w:r>
    </w:p>
    <w:p w14:paraId="3A97474E">
      <w:pPr>
        <w:numPr>
          <w:ilvl w:val="0"/>
          <w:numId w:val="2"/>
        </w:numPr>
        <w:ind w:left="0" w:leftChars="0" w:firstLine="0" w:firstLineChars="0"/>
        <w:rPr>
          <w:rFonts w:hint="eastAsia" w:cs="宋体" w:asciiTheme="minorEastAsia" w:hAnsiTheme="minorEastAsia" w:eastAsia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2"/>
          <w:highlight w:val="none"/>
          <w:u w:val="none"/>
          <w:lang w:val="en-US" w:eastAsia="zh-CN" w:bidi="ar-SA"/>
        </w:rPr>
        <w:t>AI应用与数字生产力建设：</w:t>
      </w:r>
      <w:r>
        <w:rPr>
          <w:rFonts w:hint="eastAsia" w:cs="宋体" w:asciiTheme="minorEastAsia" w:hAnsiTheme="minorEastAsia" w:eastAsiaTheme="minorEastAsia"/>
          <w:color w:val="auto"/>
          <w:sz w:val="24"/>
          <w:szCs w:val="24"/>
          <w:highlight w:val="none"/>
          <w:u w:val="none"/>
          <w:lang w:val="en-US" w:eastAsia="zh-CN"/>
        </w:rPr>
        <w:t>构建覆盖全病程的智能管理体系，包括基于多模态数据的慢病风险筛查评估模型、支持自然语言处理的AI智能随访系统、以及具备专业知识的AI健康顾问机器人。通过机器学习算法持续优化干预方案，实现个性化健康管理，大幅提升服务效率与患者依从性。</w:t>
      </w:r>
    </w:p>
    <w:p w14:paraId="58E80237">
      <w:pPr>
        <w:numPr>
          <w:ilvl w:val="0"/>
          <w:numId w:val="0"/>
        </w:numPr>
        <w:rPr>
          <w:rFonts w:hint="eastAsia" w:cs="宋体" w:asciiTheme="minorEastAsia" w:hAnsiTheme="minorEastAsia" w:eastAsiaTheme="minorEastAsia"/>
          <w:color w:val="auto"/>
          <w:sz w:val="24"/>
          <w:szCs w:val="24"/>
          <w:highlight w:val="none"/>
          <w:lang w:val="en-US" w:eastAsia="zh-CN"/>
        </w:rPr>
      </w:pPr>
    </w:p>
    <w:p w14:paraId="14F7CD9A">
      <w:pPr>
        <w:numPr>
          <w:ilvl w:val="0"/>
          <w:numId w:val="1"/>
        </w:numPr>
        <w:rPr>
          <w:rFonts w:hint="default"/>
          <w:b/>
          <w:bCs/>
          <w:color w:val="auto"/>
          <w:sz w:val="30"/>
          <w:szCs w:val="30"/>
          <w:highlight w:val="none"/>
          <w:lang w:val="en-US" w:eastAsia="zh-CN"/>
        </w:rPr>
      </w:pPr>
      <w:r>
        <w:rPr>
          <w:rFonts w:hint="eastAsia"/>
          <w:b/>
          <w:bCs/>
          <w:color w:val="auto"/>
          <w:sz w:val="30"/>
          <w:szCs w:val="30"/>
          <w:highlight w:val="none"/>
          <w:lang w:val="en-US" w:eastAsia="zh-CN"/>
        </w:rPr>
        <w:t>系统功能清单</w:t>
      </w:r>
    </w:p>
    <w:p w14:paraId="37F8F3DB">
      <w:pPr>
        <w:pStyle w:val="3"/>
        <w:spacing w:line="360" w:lineRule="auto"/>
        <w:rPr>
          <w:rFonts w:hint="eastAsia" w:eastAsia="宋体"/>
          <w:color w:val="auto"/>
          <w:sz w:val="28"/>
          <w:szCs w:val="28"/>
          <w:highlight w:val="none"/>
          <w:lang w:val="en-US" w:eastAsia="zh-CN"/>
        </w:rPr>
      </w:pPr>
      <w:r>
        <w:rPr>
          <w:rFonts w:hint="eastAsia"/>
          <w:color w:val="auto"/>
          <w:sz w:val="28"/>
          <w:szCs w:val="28"/>
          <w:highlight w:val="none"/>
          <w:lang w:val="en-US" w:eastAsia="zh-CN"/>
        </w:rPr>
        <w:t>3.1检后</w:t>
      </w:r>
      <w:r>
        <w:rPr>
          <w:rFonts w:hint="eastAsia"/>
          <w:color w:val="auto"/>
          <w:sz w:val="28"/>
          <w:szCs w:val="28"/>
          <w:highlight w:val="none"/>
        </w:rPr>
        <w:t>健康管理</w:t>
      </w:r>
      <w:r>
        <w:rPr>
          <w:rFonts w:hint="eastAsia"/>
          <w:color w:val="auto"/>
          <w:sz w:val="28"/>
          <w:szCs w:val="28"/>
          <w:highlight w:val="none"/>
          <w:lang w:val="en-US" w:eastAsia="zh-CN"/>
        </w:rPr>
        <w:t>系统</w:t>
      </w:r>
    </w:p>
    <w:tbl>
      <w:tblPr>
        <w:tblStyle w:val="7"/>
        <w:tblW w:w="8277" w:type="dxa"/>
        <w:tblInd w:w="9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47"/>
        <w:gridCol w:w="1747"/>
        <w:gridCol w:w="1508"/>
        <w:gridCol w:w="4575"/>
      </w:tblGrid>
      <w:tr w14:paraId="0EAF9F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5" w:hRule="atLeast"/>
        </w:trPr>
        <w:tc>
          <w:tcPr>
            <w:tcW w:w="447" w:type="dxa"/>
            <w:tcBorders>
              <w:bottom w:val="single" w:color="000000" w:sz="4" w:space="0"/>
              <w:right w:val="single" w:color="000000" w:sz="4" w:space="0"/>
            </w:tcBorders>
            <w:shd w:val="clear" w:color="auto" w:fill="auto"/>
            <w:noWrap w:val="0"/>
            <w:vAlign w:val="center"/>
          </w:tcPr>
          <w:p w14:paraId="25EAA07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47" w:type="dxa"/>
            <w:tcBorders>
              <w:left w:val="single" w:color="000000" w:sz="4" w:space="0"/>
              <w:bottom w:val="single" w:color="000000" w:sz="4" w:space="0"/>
              <w:right w:val="single" w:color="000000" w:sz="4" w:space="0"/>
            </w:tcBorders>
            <w:shd w:val="clear" w:color="auto" w:fill="auto"/>
            <w:noWrap w:val="0"/>
            <w:vAlign w:val="center"/>
          </w:tcPr>
          <w:p w14:paraId="2BB28A7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一级功能</w:t>
            </w:r>
          </w:p>
        </w:tc>
        <w:tc>
          <w:tcPr>
            <w:tcW w:w="1508" w:type="dxa"/>
            <w:tcBorders>
              <w:left w:val="single" w:color="000000" w:sz="4" w:space="0"/>
              <w:bottom w:val="single" w:color="000000" w:sz="4" w:space="0"/>
              <w:right w:val="single" w:color="000000" w:sz="4" w:space="0"/>
            </w:tcBorders>
            <w:shd w:val="clear" w:color="auto" w:fill="auto"/>
            <w:noWrap w:val="0"/>
            <w:vAlign w:val="center"/>
          </w:tcPr>
          <w:p w14:paraId="60EA9C1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二级功能</w:t>
            </w:r>
          </w:p>
        </w:tc>
        <w:tc>
          <w:tcPr>
            <w:tcW w:w="4575" w:type="dxa"/>
            <w:tcBorders>
              <w:left w:val="single" w:color="000000" w:sz="4" w:space="0"/>
              <w:bottom w:val="single" w:color="000000" w:sz="4" w:space="0"/>
            </w:tcBorders>
            <w:shd w:val="clear" w:color="auto" w:fill="auto"/>
            <w:noWrap w:val="0"/>
            <w:vAlign w:val="center"/>
          </w:tcPr>
          <w:p w14:paraId="30A49A7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功能描述</w:t>
            </w:r>
          </w:p>
        </w:tc>
      </w:tr>
      <w:tr w14:paraId="1CD67B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8697E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D559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机构管理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2A9C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机构管理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08C98B1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支持维护机构及下属机构的基础信息。</w:t>
            </w:r>
          </w:p>
        </w:tc>
      </w:tr>
      <w:tr w14:paraId="61290E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67A34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3C2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机构管理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9402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机构会员管理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528B21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支持查看机构的所有会员信息，修改会员资料，维护会员家庭成员，进入会员主页操作。</w:t>
            </w:r>
          </w:p>
        </w:tc>
      </w:tr>
      <w:tr w14:paraId="409737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69"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86615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D0A9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组织及权限管理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5593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角色管理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7A7153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支持自定义角色以及分配角色权限操作。</w:t>
            </w:r>
          </w:p>
        </w:tc>
      </w:tr>
      <w:tr w14:paraId="2E316F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2224A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9945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组织及权限管理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ABB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部门管理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F94533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支持自定义机构的部门/科室信息操作。</w:t>
            </w:r>
          </w:p>
        </w:tc>
      </w:tr>
      <w:tr w14:paraId="7511A0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7FA181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3DB1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组织及权限管理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71A2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人员管理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7FBC23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支持添加机构人员（医生/护士/技师/非医疗人员），并分配角色权限操作。</w:t>
            </w:r>
          </w:p>
        </w:tc>
      </w:tr>
      <w:tr w14:paraId="06DCD9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143CAB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3ED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组织及权限管理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6B7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团队管理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898788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支持维护团队基本信息，团队成员职位配置、团队推荐商品配置。</w:t>
            </w:r>
          </w:p>
        </w:tc>
      </w:tr>
      <w:tr w14:paraId="6C295F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7DA105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754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服务对象管理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433C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签约患者管理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93DB0C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可查询医院全部签约患者名单和基础信息。</w:t>
            </w:r>
          </w:p>
        </w:tc>
      </w:tr>
      <w:tr w14:paraId="260FC6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34C377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747" w:type="dxa"/>
            <w:tcBorders>
              <w:top w:val="single" w:color="000000" w:sz="4" w:space="0"/>
              <w:left w:val="single" w:color="000000" w:sz="4" w:space="0"/>
              <w:bottom w:val="nil"/>
              <w:right w:val="single" w:color="000000" w:sz="4" w:space="0"/>
            </w:tcBorders>
            <w:shd w:val="clear" w:color="auto" w:fill="FFFFFF"/>
            <w:noWrap w:val="0"/>
            <w:vAlign w:val="center"/>
          </w:tcPr>
          <w:p w14:paraId="7BEB9F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服务对象管理</w:t>
            </w:r>
          </w:p>
        </w:tc>
        <w:tc>
          <w:tcPr>
            <w:tcW w:w="1508" w:type="dxa"/>
            <w:tcBorders>
              <w:top w:val="single" w:color="000000" w:sz="4" w:space="0"/>
              <w:left w:val="single" w:color="000000" w:sz="4" w:space="0"/>
              <w:bottom w:val="nil"/>
              <w:right w:val="single" w:color="000000" w:sz="4" w:space="0"/>
            </w:tcBorders>
            <w:shd w:val="clear" w:color="auto" w:fill="FFFFFF"/>
            <w:noWrap w:val="0"/>
            <w:vAlign w:val="center"/>
          </w:tcPr>
          <w:p w14:paraId="1C901A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签约工作单位管理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AA525D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支持对签约的工作单位管理，方便按单位、体检日期等进行团队报告生成。</w:t>
            </w:r>
          </w:p>
        </w:tc>
      </w:tr>
      <w:tr w14:paraId="4B4F04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0A29E1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C7BF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00DE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档案库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FCD98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支持自定义配置档案组件内容，根据组件自定义档案模板，设置权限、适用疾病。</w:t>
            </w:r>
          </w:p>
        </w:tc>
      </w:tr>
      <w:tr w14:paraId="47AB34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CEBF3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C25A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nil"/>
              <w:left w:val="single" w:color="000000" w:sz="4" w:space="0"/>
              <w:bottom w:val="single" w:color="000000" w:sz="4" w:space="0"/>
              <w:right w:val="single" w:color="000000" w:sz="4" w:space="0"/>
            </w:tcBorders>
            <w:shd w:val="clear" w:color="auto" w:fill="FFFFFF"/>
            <w:noWrap w:val="0"/>
            <w:vAlign w:val="center"/>
          </w:tcPr>
          <w:p w14:paraId="25795DD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量表库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B1D66E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支持自定义配置量表题目，配置量表结论，配置量表属性、适用病种、出处来源、量表测评介绍。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支持多题型（文本填空题，单选题，多选题，下拉选择题等）表单的自定义维护题目及选项内容；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支持配置单一量表和组合量表，支持量表可快速复制和新建。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支持量表的题目可快速排序，支持维护题目之间跳题跳转</w:t>
            </w:r>
          </w:p>
        </w:tc>
      </w:tr>
      <w:tr w14:paraId="141C56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15C9D9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F7FA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E90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宣教库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BB9AA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支持维护宣教知识库，配置适用疾病、类型、主题、阶段等信息，支持视频和图文格式的宣教内容。</w:t>
            </w:r>
          </w:p>
        </w:tc>
      </w:tr>
      <w:tr w14:paraId="09E9CA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782C02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DC80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8F8F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随访库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342EA1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支持维护随访组件和随访表单内容，维护随访表单时可引用随访组件题目快速配置表单，已配置好的随访表题目支持快速排序 。</w:t>
            </w:r>
          </w:p>
        </w:tc>
      </w:tr>
      <w:tr w14:paraId="62AD10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7478A7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9745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2CC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个人健康促进方案库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0B0E6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支持个人健康促进报告饮食、运动、心理等多种建议内容模板维护。</w:t>
            </w:r>
          </w:p>
        </w:tc>
      </w:tr>
      <w:tr w14:paraId="6E69B8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AF336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6370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596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宣教计划模板库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5B021D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支持按诊断、体质、症状维度来维护宣教计划模板，配置宣教的推送规则。</w:t>
            </w:r>
          </w:p>
        </w:tc>
      </w:tr>
      <w:tr w14:paraId="492EAB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4AE0B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F21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CC7D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运动方案模板库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5DDB30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支持按病种维护运动方案模板，配置方案适用的运动强度、运动项目、运动注意事项。</w:t>
            </w:r>
          </w:p>
        </w:tc>
      </w:tr>
      <w:tr w14:paraId="1E5124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7D901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E90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EA7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管理任务模板库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45C21B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支持配置用药指导、运动指导、饮食指导、复诊提醒等单个任务的模板，支持制定管理计划模板时可快速引用。</w:t>
            </w:r>
          </w:p>
        </w:tc>
      </w:tr>
      <w:tr w14:paraId="376F21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1E1104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5DA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5E06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管理计划模板库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E4A02E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支持按病种配置管理计划模板，维护模板的名称、周期、适用病种、模板计划内容。</w:t>
            </w:r>
          </w:p>
        </w:tc>
      </w:tr>
      <w:tr w14:paraId="725E22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D475E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ED6E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C3F4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随访计划模板库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5C279FB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支持自定义随访计划模板，可在制定随访计划时引用。</w:t>
            </w:r>
          </w:p>
        </w:tc>
      </w:tr>
      <w:tr w14:paraId="72CD10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3474D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BF8F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9EEE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健康管理分层库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A91F6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支持自定义健康管理分层管理路径的执行计划、随访计划路径</w:t>
            </w:r>
          </w:p>
        </w:tc>
      </w:tr>
      <w:tr w14:paraId="5B1022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6E5933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2A55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9CC4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个人工作台</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5CFC63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1、各管理角色用户在工作台接收管理路径任务提醒并完成相关任务。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2、支持居家监测数据上传后的异常指标数据预警提醒以及处理；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3、支持个人待办任务的查看以及快速处理。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4、可以清晰了解到自己患者的目前的管理进度和管理路径执行情况。</w:t>
            </w:r>
          </w:p>
        </w:tc>
      </w:tr>
      <w:tr w14:paraId="5EEFA3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4"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65DBEB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485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2A72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我的患者管理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D8DF944">
            <w:pPr>
              <w:widowControl/>
              <w:numPr>
                <w:ilvl w:val="0"/>
                <w:numId w:val="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可查询以及管理关注自己或自己团队的患者，显示患者重要标签信息，支持列表和卡片2种展示形式。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2、对患者可进行分组管理，通过患者列表可进入患者主页，可维护以及查看患者的全部信息，以便全面了解患者的健康状况。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3、支持批量选择患者群发指导方案、量表、宣教、自定义公众号通知消息等各种微信端消息。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4、支持通过姓名、联系方式、管理方案、管理进度等多种条件组合查询患者/患者。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5、支持手动将患者加入管理服务。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6、支持通过姓名、联系方式、管理方案、管理进度等多种条件组合查询患者，支持患者分组管理，也支持分组内单个或多个分组内查询患者。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7、支持进入患者/患者主页</w:t>
            </w:r>
          </w:p>
        </w:tc>
      </w:tr>
      <w:tr w14:paraId="7CA9AB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63CA92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FF17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CC87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待办事项管理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C83C32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支持创建待办事项并指派给团队成员，支持处理他人指派的待办任务，待办事项会可在工作台提醒。</w:t>
            </w:r>
          </w:p>
        </w:tc>
      </w:tr>
      <w:tr w14:paraId="6A19DE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06CBE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562C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C68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任务管理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7B3D0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支持查询个人任务列表，统计任务完成情况，支持任务筛选和查看任务详情。</w:t>
            </w:r>
          </w:p>
        </w:tc>
      </w:tr>
      <w:tr w14:paraId="3736E8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16BBF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E9EF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E5ED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档案管理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4C51F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支持查看我所在团队的所有患者的档案记录，支持编辑未完成和已完成状态的档案信息。</w:t>
            </w:r>
          </w:p>
        </w:tc>
      </w:tr>
      <w:tr w14:paraId="50F39A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DE764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D4EF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29BC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量表管理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E1493B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支持查看我所在团队推送给患者的所有量表评估记录，测评状态，支持辅助患者填写量表。</w:t>
            </w:r>
          </w:p>
        </w:tc>
      </w:tr>
      <w:tr w14:paraId="61C3F3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6EBEFD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44A3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A7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随访管理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0A6DEAE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支持查看我所在团队推送给患者的所有随访记录，包括待完成、待小结和已完成的随访。</w:t>
            </w:r>
          </w:p>
        </w:tc>
      </w:tr>
      <w:tr w14:paraId="49A689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74FC1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528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AD0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个人健康促进报告</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FFB586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支持查看所在团队推送给患者的所有个人健康促进报告记录，支持撤回编辑重新发送。</w:t>
            </w:r>
          </w:p>
        </w:tc>
      </w:tr>
      <w:tr w14:paraId="12C882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1CA43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E517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8FC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干预计划管理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0743B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支持查看我所在团队推送给患者的所有干预计划记录，支持计划重新编辑并发送。</w:t>
            </w:r>
          </w:p>
        </w:tc>
      </w:tr>
      <w:tr w14:paraId="7762FC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A225C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785E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我的工作站</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6DF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管理总结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7CE11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支持查看我管理的患者的所有管理总结任务及已完成的总结记录。</w:t>
            </w:r>
          </w:p>
        </w:tc>
      </w:tr>
      <w:tr w14:paraId="66ED2E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3062BB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6085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医患互动管理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5D77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▲专属咨询群</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51DC16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1、患者加入管理后，由管理人员进行分配，与团队主管管理人员和辅助管理人员共同创建多人的患者专属群。也可实现自动分配。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患者家属加入群聊，加入群聊后患者和家属均可以查看患者本人的档案、量表、测评结果、指导方案、管理计划、随访、饮食、宣教、病历、指标数据、报告等所有与病情管理的数据；同时可接收患者任务为患者完成管理人员以及数据上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3、支持患者通过语音、文字、图片方式与管理团队进行沟通。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4、支持推送量表、宣教、随访、服务评价等实时通讯消息；同时在管理过程中的所有管理资料均可在群里进行通知以及查询。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5、医护人员可以对患者门诊、住院的病历、用药、检验检查报告等医疗信息进行查阅，患者也可手动上传相关记录；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6、支持群设置免打扰、标记置顶、批量已读、消息撤回等；</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、支持一次输出内容后全局搜索全部群聊中记录内容，并支持内容的查看上下文，在群聊中可按图片、文件等文件类型快速查找历史聊天记录；</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、支持可在群聊中对患者的饮食情况快速进行点评，并反馈点击结果在群聊里。</w:t>
            </w:r>
            <w:r>
              <w:rPr>
                <w:rFonts w:hint="eastAsia" w:ascii="宋体" w:hAnsi="宋体" w:eastAsia="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、支持在咨询过程中快速查询食材/药膳等的性味归经、制作方法等信息进行推荐；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、支持在群聊处可查询随访情况并执行待随访的事项；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、支持在群里快速预约患者服务包权益中的治疗权益项目；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、支持选择群聊记录快速设为待办事项、关联至管理日志等；</w:t>
            </w:r>
          </w:p>
        </w:tc>
      </w:tr>
      <w:tr w14:paraId="7B08D8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66F718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9EF0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医护互动管理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BC51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群发消息管理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63F299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支持批量推送图文、文件、量表、宣教等消息给患者群，支持多种消息类型。</w:t>
            </w:r>
          </w:p>
        </w:tc>
      </w:tr>
      <w:tr w14:paraId="0C9A38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8CF27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E35E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医护互动管理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0B80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快捷回复管理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C03525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支持维护常用话术模板，快速回复患者咨询的问题。</w:t>
            </w:r>
          </w:p>
        </w:tc>
      </w:tr>
      <w:tr w14:paraId="506B71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3004E1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C813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5143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入群筛查</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EB7C2E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1、支持对接his系统或利用导入用户信息的方式，同步或导入患者信息后，自动进行个人画像生成，自动分配管理人员，分配专病管理路径。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支持设置入组筛查，自动推送病种相关的信息采集量表给患者进行填写，采集其病情信息。</w:t>
            </w:r>
          </w:p>
        </w:tc>
      </w:tr>
      <w:tr w14:paraId="7B714B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155E5A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8EE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A04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▲动态档案</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A844712">
            <w:pPr>
              <w:widowControl/>
              <w:jc w:val="left"/>
              <w:textAlignment w:val="center"/>
              <w:rPr>
                <w:rFonts w:hint="eastAsia" w:ascii="宋体" w:hAnsi="宋体" w:eastAsia="宋体" w:cs="宋体"/>
                <w:color w:val="auto"/>
                <w:sz w:val="21"/>
                <w:szCs w:val="21"/>
                <w:highlight w:val="none"/>
              </w:rPr>
            </w:pPr>
            <w:bookmarkStart w:id="0" w:name="OLE_LINK1"/>
            <w:r>
              <w:rPr>
                <w:rFonts w:hint="eastAsia" w:ascii="宋体" w:hAnsi="宋体" w:eastAsia="宋体" w:cs="宋体"/>
                <w:color w:val="auto"/>
                <w:kern w:val="0"/>
                <w:sz w:val="21"/>
                <w:szCs w:val="21"/>
                <w:highlight w:val="none"/>
                <w:lang w:bidi="ar"/>
              </w:rPr>
              <w:t>支持根据采集到的患者信息，生成患者的动态档案，如诊断、体质、症状、指标异常。</w:t>
            </w:r>
            <w:bookmarkEnd w:id="0"/>
          </w:p>
        </w:tc>
      </w:tr>
      <w:tr w14:paraId="3E14B8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1FFF0D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BCC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3A8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健康档案</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6E0005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1、为患者建立健康档案，包含患者的基本信息、体检报告、诊疗记录、每日体征检测数据、个人生活方式记录、营养状况、运动状况、工作行为、心理状态等健康数据。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2、支持自定义维护档案内容模块，随用随插。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3、支持按模板快速创建患者档案，支持在建档过程中快速插入档案模块。支持引用上一份档案信息快速建档。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4、支持档案采集的症状、指标等信息同步至量表、症状、日常指标数据等模块。</w:t>
            </w:r>
          </w:p>
        </w:tc>
      </w:tr>
      <w:tr w14:paraId="508E5F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0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D1A84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AEB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D953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量表评估</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A14777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1、支持将量表进行单一推送到患者微信填写，家属或医护可辅助填写，如果患者不填写支持填写备注说明。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2、如果量表结果以数值形式呈现，系统支持查看该量表在不同时间段内的结果趋势变化图</w:t>
            </w:r>
          </w:p>
        </w:tc>
      </w:tr>
      <w:tr w14:paraId="6164EF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7B1C8A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1600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FA7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健康风险评估</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66AEAF4">
            <w:pPr>
              <w:widowControl/>
              <w:numPr>
                <w:ilvl w:val="0"/>
                <w:numId w:val="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慢病健康风险：根据患者健康档案信息，调用系统参数和评估模型对管理对象目前健康状态进行健康风险评估，对未来的常见慢性病患病风险进行科学的评估，形成健康风险评估报告并推送至患者。中华医学会认证的健康风险评估模型为工具，包括高血压、糖尿病、缺血性心血管疾病、脑卒中、慢阻肺、代谢综合征等多种慢性病未来5-10年的患病风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2、生活方式评估：对患者从饮食、运动、心理、睡眠等方面进行综合分析及评分。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3、心理评估：以scl90量表为基础，从躯体表现、强迫症状、抑郁、焦虑等9个方面初步评估患者心理状况。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4、量表评估：支持自定义量表题目以及结论，采集患者信息。可推送给患者填写或医护协助填写。</w:t>
            </w:r>
          </w:p>
        </w:tc>
      </w:tr>
      <w:tr w14:paraId="4BBDC7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3523CE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782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DBDF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健康管理分层</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0A844C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支持基于病种带出管理路径分层，支持基于分层带出指导方案模板、执行计划模板和宣教计划模板。</w:t>
            </w:r>
          </w:p>
        </w:tc>
      </w:tr>
      <w:tr w14:paraId="6C1402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0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6CED10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EF14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B109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个人健康促进报告</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2A499B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1、根据患者的健康风险评估结果、诊断结果以及个人生活习惯提供饮食、运动、心理、睡眠、中医保健等管理指导建议；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2、支持使用模板，可查询指导方案推送记录以及撤回。</w:t>
            </w:r>
          </w:p>
        </w:tc>
      </w:tr>
      <w:tr w14:paraId="01A3A1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0EB510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79DF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AC50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▲健康干预计划管理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56594E0">
            <w:pPr>
              <w:widowControl/>
              <w:numPr>
                <w:ilvl w:val="0"/>
                <w:numId w:val="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支持系统根据管理路径以及个人画像自动化生成健康干预计划内容。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2、医护人员可以在系统中为加入管理的患者配置计划日程，包括宣教、量表、用药提醒、运动建议、居家康复指导、指标监测、复检复查提醒等组件任务。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3、计划日程配置后，系统将按计划自动向患者推送任务消息，提醒患者按时完成相关任务，同时医护也可接收到任务跟进提醒。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4、支持患者任务进度，每日执行明细的完成情况查看；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5、支持日历视图、相对时间视图的查看每日计划；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6、支持配置多个阶段性的宣教计划，支持按疾病知晓率的薄弱环节、个人画像自动生成宣教计划，支持设置节气宣教计划；</w:t>
            </w:r>
          </w:p>
        </w:tc>
      </w:tr>
      <w:tr w14:paraId="53B471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2E589D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A28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761F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居家监测指标</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1249A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1、支持查看患者最新的自助检测数据，以便于健康管理师及时了解患者的身体状况，作出针对性的健康管理。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2、管理人员可为患者设置监测计划，制定时可选择监测计划模板。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3、支持通过两种方式录入检测数据，一种是健康管理师对患者回访完成后，手动录入当次回访的患者数据；另一种是患者通过患者端进行上传。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上传后自动生成趋势图，自动识别异常标识，分析达标情况；</w:t>
            </w:r>
          </w:p>
        </w:tc>
      </w:tr>
      <w:tr w14:paraId="11B703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02D4AC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E884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595D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检验检查管理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1CDDC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健康管理期间，对患者所做的单项或数个项目的检查记录进行存档，支持与院内系统对接自动或管理人员手动上传的方式获取患者的检验检查结果。通过体检复查对比历史异常数据，有效评估干预效果和患者的健康促进程度，便以制定或修改干预计划进行针对性的调整。</w:t>
            </w:r>
          </w:p>
        </w:tc>
      </w:tr>
      <w:tr w14:paraId="3CCB33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73E1F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B47F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7A17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体检报告记录</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C24BAF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支持手动上传体检报告，也可与院内体检系统对接获取体检报告记录、检验检查等数据。</w:t>
            </w:r>
          </w:p>
        </w:tc>
      </w:tr>
      <w:tr w14:paraId="6B821F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33"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B5315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DBF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4BC6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▲随访管理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087AF0AE">
            <w:pPr>
              <w:widowControl/>
              <w:numPr>
                <w:ilvl w:val="0"/>
                <w:numId w:val="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计划性随访管理：支持医护人员为每位患者设置个性化的随访计划，包括频率、时间和内容等，可以确保患者在规定的时间范围内接受定期随访，跟进病情变化、康复进展、用药情况等治疗进展；支持在随访填写过程中随访组件的随用随插，可快速增加随访记录项；支持快速生成随访小结；支持随访时导入上次随访结果；</w:t>
            </w:r>
          </w:p>
          <w:p w14:paraId="02C08387">
            <w:pPr>
              <w:widowControl/>
              <w:numPr>
                <w:ilvl w:val="0"/>
                <w:numId w:val="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事件随访：支持针对出现异常指标、症状、用药不良反应、突发事件等情况，可标记为事件性随访，生成事件随访，并记录事件跟进情况；随访过程中可设置下次随访计划，系统向随访执行人员进行下次随访跟进提醒；支持在咨询过程中快速记录事件随访情况，包括发生时间、症状、持续时间、消失时间、严重程度、处理建议、备注等，随访跟进时可快速回显上次随访情况；支持症状情况在随访过程中结构化记录，记录的结果自动同步至症状记录表，依据症状程度自动判断变化情况并在患者全息动态视图中按时间呈现；事件结束时可进行关闭/结案。</w:t>
            </w:r>
          </w:p>
          <w:p w14:paraId="23F4AF1F">
            <w:pPr>
              <w:widowControl/>
              <w:numPr>
                <w:ilvl w:val="0"/>
                <w:numId w:val="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随访提醒：提供当天或一定天数内的随访提醒，在系统中有当天的随访计划，可通过消息提示、微信推送、短信通知等形式告知医护人员，执行随访任务。</w:t>
            </w:r>
          </w:p>
        </w:tc>
      </w:tr>
      <w:tr w14:paraId="698154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129B7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6E55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A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诊疗记录</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2B5E7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支持对接医院HIS、EMR系统获取档案信息，手动录入病历、报告等，支持OCR识别技术结构化存储病历和报告。</w:t>
            </w:r>
          </w:p>
        </w:tc>
      </w:tr>
      <w:tr w14:paraId="51AC7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5AFD12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9C6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C495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管理总结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670364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支持为患者生成管理总结，总结的内容包括患者信息、病情信息、管理目标达成情况、监测情况、复诊情况、用药情况、饮食情况、宣教情况、运动情况、生活情况、中医内调、中医外治和综合评价内容。</w:t>
            </w:r>
          </w:p>
        </w:tc>
      </w:tr>
      <w:tr w14:paraId="5849BC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49AAE1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1CB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团队报告</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FC5D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团队报告</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439BF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根据单位以及体检时间段快速生成团体健康报告，包含了体检异常分布、人群风险分布。，包括基本记录、生活方式统计、心理测评结果分析、中医体质辨识结果分析、重要指标检查结果分布、慢性病风险评估统计分析等。</w:t>
            </w:r>
          </w:p>
        </w:tc>
      </w:tr>
      <w:tr w14:paraId="40F1D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14FDFD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EF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患者主页</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828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管理日志</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033E3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支持监控团队日常管理的行为，生成管理日志，便于做质控。</w:t>
            </w:r>
          </w:p>
        </w:tc>
      </w:tr>
      <w:tr w14:paraId="58DAF7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47" w:type="dxa"/>
            <w:tcBorders>
              <w:top w:val="single" w:color="000000" w:sz="4" w:space="0"/>
              <w:bottom w:val="single" w:color="000000" w:sz="4" w:space="0"/>
              <w:right w:val="single" w:color="000000" w:sz="4" w:space="0"/>
            </w:tcBorders>
            <w:shd w:val="clear" w:color="auto" w:fill="FFFFFF"/>
            <w:noWrap w:val="0"/>
            <w:vAlign w:val="center"/>
          </w:tcPr>
          <w:p w14:paraId="764700FE">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506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电子票据</w:t>
            </w:r>
          </w:p>
        </w:tc>
        <w:tc>
          <w:tcPr>
            <w:tcW w:w="1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6626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电子票据</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CD9CCF4">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与医院电子票据系统对接，实现开具电子票据、管理票据、票据查询及下载。</w:t>
            </w:r>
          </w:p>
        </w:tc>
      </w:tr>
      <w:tr w14:paraId="5F6A41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47" w:type="dxa"/>
            <w:tcBorders>
              <w:top w:val="single" w:color="000000" w:sz="4" w:space="0"/>
              <w:right w:val="single" w:color="000000" w:sz="4" w:space="0"/>
            </w:tcBorders>
            <w:noWrap w:val="0"/>
            <w:vAlign w:val="center"/>
          </w:tcPr>
          <w:p w14:paraId="25F8947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50</w:t>
            </w:r>
          </w:p>
        </w:tc>
        <w:tc>
          <w:tcPr>
            <w:tcW w:w="1747" w:type="dxa"/>
            <w:tcBorders>
              <w:top w:val="single" w:color="000000" w:sz="4" w:space="0"/>
              <w:left w:val="single" w:color="000000" w:sz="4" w:space="0"/>
              <w:right w:val="single" w:color="000000" w:sz="4" w:space="0"/>
            </w:tcBorders>
            <w:noWrap w:val="0"/>
            <w:vAlign w:val="center"/>
          </w:tcPr>
          <w:p w14:paraId="5B03D81E">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外部接口对接</w:t>
            </w:r>
          </w:p>
        </w:tc>
        <w:tc>
          <w:tcPr>
            <w:tcW w:w="1508" w:type="dxa"/>
            <w:tcBorders>
              <w:top w:val="nil"/>
              <w:left w:val="single" w:color="000000" w:sz="4" w:space="0"/>
              <w:right w:val="single" w:color="000000" w:sz="4" w:space="0"/>
            </w:tcBorders>
            <w:noWrap/>
            <w:vAlign w:val="center"/>
          </w:tcPr>
          <w:p w14:paraId="66FEE278">
            <w:pPr>
              <w:widowControl/>
              <w:jc w:val="both"/>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系统接口对接</w:t>
            </w:r>
          </w:p>
        </w:tc>
        <w:tc>
          <w:tcPr>
            <w:tcW w:w="4575" w:type="dxa"/>
            <w:tcBorders>
              <w:top w:val="nil"/>
              <w:left w:val="nil"/>
            </w:tcBorders>
            <w:noWrap w:val="0"/>
            <w:vAlign w:val="bottom"/>
          </w:tcPr>
          <w:p w14:paraId="095C7EC4">
            <w:pPr>
              <w:widowControl/>
              <w:jc w:val="left"/>
              <w:textAlignment w:val="bottom"/>
              <w:rPr>
                <w:rFonts w:hint="eastAsia" w:ascii="宋体" w:hAnsi="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与院内集成平台</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HIS、LIS、PACS、体检</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电子签名、医联体协同、电子发票、短信平台等各类</w:t>
            </w:r>
            <w:r>
              <w:rPr>
                <w:rFonts w:hint="eastAsia" w:ascii="宋体" w:hAnsi="宋体" w:eastAsia="宋体" w:cs="宋体"/>
                <w:color w:val="auto"/>
                <w:kern w:val="0"/>
                <w:sz w:val="21"/>
                <w:szCs w:val="21"/>
                <w:highlight w:val="none"/>
                <w:lang w:bidi="ar"/>
              </w:rPr>
              <w:t>系统对接；</w:t>
            </w:r>
            <w:r>
              <w:rPr>
                <w:rFonts w:hint="eastAsia" w:ascii="宋体" w:hAnsi="宋体" w:cs="宋体"/>
                <w:color w:val="auto"/>
                <w:kern w:val="0"/>
                <w:sz w:val="21"/>
                <w:szCs w:val="21"/>
                <w:highlight w:val="none"/>
                <w:lang w:val="en-US" w:eastAsia="zh-CN" w:bidi="ar"/>
              </w:rPr>
              <w:t>支持与现有智慧医院、体检系统、互联网医院等公众号或小程序进行对接，实现就诊、支付、病历信息、医嘱处方、</w:t>
            </w:r>
            <w:r>
              <w:rPr>
                <w:rFonts w:hint="eastAsia" w:ascii="宋体" w:hAnsi="宋体" w:eastAsia="宋体" w:cs="宋体"/>
                <w:color w:val="auto"/>
                <w:kern w:val="0"/>
                <w:sz w:val="21"/>
                <w:szCs w:val="21"/>
                <w:highlight w:val="none"/>
                <w:lang w:bidi="ar"/>
              </w:rPr>
              <w:t>检验检查报告</w:t>
            </w:r>
            <w:r>
              <w:rPr>
                <w:rFonts w:hint="eastAsia" w:ascii="宋体" w:hAnsi="宋体" w:cs="宋体"/>
                <w:color w:val="auto"/>
                <w:kern w:val="0"/>
                <w:sz w:val="21"/>
                <w:szCs w:val="21"/>
                <w:highlight w:val="none"/>
                <w:lang w:val="en-US" w:eastAsia="zh-CN" w:bidi="ar"/>
              </w:rPr>
              <w:t>等业务信息互联互通；</w:t>
            </w:r>
            <w:r>
              <w:rPr>
                <w:rFonts w:hint="eastAsia" w:ascii="宋体" w:hAnsi="宋体" w:eastAsia="宋体" w:cs="宋体"/>
                <w:color w:val="auto"/>
                <w:kern w:val="0"/>
                <w:sz w:val="21"/>
                <w:szCs w:val="21"/>
                <w:highlight w:val="none"/>
                <w:lang w:bidi="ar"/>
              </w:rPr>
              <w:t>确保接口支持健康体检智能化所需体检数据的全面获取</w:t>
            </w:r>
            <w:r>
              <w:rPr>
                <w:rFonts w:hint="eastAsia" w:ascii="宋体" w:hAnsi="宋体" w:cs="宋体"/>
                <w:color w:val="auto"/>
                <w:kern w:val="0"/>
                <w:sz w:val="21"/>
                <w:szCs w:val="21"/>
                <w:highlight w:val="none"/>
                <w:lang w:val="en-US" w:eastAsia="zh-CN" w:bidi="ar"/>
              </w:rPr>
              <w:t>,包括</w:t>
            </w:r>
            <w:r>
              <w:rPr>
                <w:rFonts w:hint="eastAsia" w:ascii="宋体" w:hAnsi="宋体" w:eastAsia="宋体" w:cs="宋体"/>
                <w:color w:val="auto"/>
                <w:kern w:val="0"/>
                <w:sz w:val="21"/>
                <w:szCs w:val="21"/>
                <w:highlight w:val="none"/>
                <w:lang w:bidi="ar"/>
              </w:rPr>
              <w:t>患者</w:t>
            </w:r>
            <w:r>
              <w:rPr>
                <w:rFonts w:hint="eastAsia" w:ascii="宋体" w:hAnsi="宋体" w:cs="宋体"/>
                <w:color w:val="auto"/>
                <w:kern w:val="0"/>
                <w:sz w:val="21"/>
                <w:szCs w:val="21"/>
                <w:highlight w:val="none"/>
                <w:lang w:val="en-US" w:eastAsia="zh-CN" w:bidi="ar"/>
              </w:rPr>
              <w:t>在医院及区域的基本</w:t>
            </w:r>
            <w:r>
              <w:rPr>
                <w:rFonts w:hint="eastAsia" w:ascii="宋体" w:hAnsi="宋体" w:eastAsia="宋体" w:cs="宋体"/>
                <w:color w:val="auto"/>
                <w:kern w:val="0"/>
                <w:sz w:val="21"/>
                <w:szCs w:val="21"/>
                <w:highlight w:val="none"/>
                <w:lang w:bidi="ar"/>
              </w:rPr>
              <w:t>信息、病历、医嘱、处方、检验检查报告</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体检</w:t>
            </w:r>
            <w:r>
              <w:rPr>
                <w:rFonts w:hint="eastAsia" w:ascii="宋体" w:hAnsi="宋体" w:eastAsia="宋体" w:cs="宋体"/>
                <w:color w:val="auto"/>
                <w:kern w:val="0"/>
                <w:sz w:val="21"/>
                <w:szCs w:val="21"/>
                <w:highlight w:val="none"/>
                <w:lang w:bidi="ar"/>
              </w:rPr>
              <w:t>等</w:t>
            </w:r>
            <w:r>
              <w:rPr>
                <w:rFonts w:hint="eastAsia" w:ascii="宋体" w:hAnsi="宋体" w:cs="宋体"/>
                <w:color w:val="auto"/>
                <w:kern w:val="0"/>
                <w:sz w:val="21"/>
                <w:szCs w:val="21"/>
                <w:highlight w:val="none"/>
                <w:lang w:val="en-US" w:eastAsia="zh-CN" w:bidi="ar"/>
              </w:rPr>
              <w:t>各类</w:t>
            </w:r>
            <w:r>
              <w:rPr>
                <w:rFonts w:hint="eastAsia" w:ascii="宋体" w:hAnsi="宋体" w:eastAsia="宋体" w:cs="宋体"/>
                <w:color w:val="auto"/>
                <w:kern w:val="0"/>
                <w:sz w:val="21"/>
                <w:szCs w:val="21"/>
                <w:highlight w:val="none"/>
                <w:lang w:bidi="ar"/>
              </w:rPr>
              <w:t>诊疗</w:t>
            </w:r>
            <w:r>
              <w:rPr>
                <w:rFonts w:hint="eastAsia" w:ascii="宋体" w:hAnsi="宋体" w:cs="宋体"/>
                <w:color w:val="auto"/>
                <w:kern w:val="0"/>
                <w:sz w:val="21"/>
                <w:szCs w:val="21"/>
                <w:highlight w:val="none"/>
                <w:lang w:val="en-US" w:eastAsia="zh-CN" w:bidi="ar"/>
              </w:rPr>
              <w:t>信息；</w:t>
            </w:r>
          </w:p>
          <w:p w14:paraId="1A3DA564">
            <w:pPr>
              <w:widowControl/>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对体检、门诊和住院档案信息，以及各项检验、检查报告数据的融合；支持融合多源数据以支撑健康档案智能化；</w:t>
            </w:r>
          </w:p>
          <w:p w14:paraId="39B8C0D8">
            <w:pPr>
              <w:widowControl/>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提供标准化接口供设备厂商接入，实现可穿戴设备（包括但不限于手机、手表、体脂秤等）与平台的系统对接；接口需支持健康监测智能化所需的高频、多维生理参数传输；</w:t>
            </w:r>
          </w:p>
          <w:p w14:paraId="66FE8F35">
            <w:pPr>
              <w:widowControl/>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提供标准化接口接入各类医疗终端（包括但不限于血压计、血糖仪等），实现数据采集和上传；</w:t>
            </w:r>
          </w:p>
          <w:p w14:paraId="0787D5C6">
            <w:pPr>
              <w:widowControl/>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相关数据与统建的省级平台和国家平台对接；</w:t>
            </w:r>
          </w:p>
          <w:p w14:paraId="72CC6FB9">
            <w:pPr>
              <w:widowControl/>
              <w:jc w:val="left"/>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与医院医联体系统对接，实现医联体就诊数据获取。</w:t>
            </w:r>
          </w:p>
          <w:p w14:paraId="35312742">
            <w:pPr>
              <w:widowControl/>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w:t>
            </w:r>
            <w:r>
              <w:rPr>
                <w:rFonts w:hint="eastAsia" w:ascii="宋体" w:hAnsi="宋体" w:cs="宋体"/>
                <w:color w:val="auto"/>
                <w:kern w:val="0"/>
                <w:sz w:val="21"/>
                <w:szCs w:val="21"/>
                <w:highlight w:val="none"/>
                <w:lang w:val="en-US" w:eastAsia="zh-CN" w:bidi="ar"/>
              </w:rPr>
              <w:t>自治区</w:t>
            </w:r>
            <w:r>
              <w:rPr>
                <w:rFonts w:hint="eastAsia" w:ascii="宋体" w:hAnsi="宋体" w:eastAsia="宋体" w:cs="宋体"/>
                <w:color w:val="auto"/>
                <w:kern w:val="0"/>
                <w:sz w:val="21"/>
                <w:szCs w:val="21"/>
                <w:highlight w:val="none"/>
                <w:lang w:bidi="ar"/>
              </w:rPr>
              <w:t>全民健康信息平台对接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满足自治区全民健康档案对接及更新要求。包括患者数据传输，健康档案传输，健康档案获取及展示，业务流程对接等各项内容</w:t>
            </w:r>
            <w:r>
              <w:rPr>
                <w:rFonts w:hint="eastAsia" w:ascii="宋体" w:hAnsi="宋体" w:eastAsia="宋体" w:cs="宋体"/>
                <w:color w:val="auto"/>
                <w:kern w:val="0"/>
                <w:sz w:val="21"/>
                <w:szCs w:val="21"/>
                <w:highlight w:val="none"/>
                <w:lang w:bidi="ar"/>
              </w:rPr>
              <w:t>；</w:t>
            </w:r>
          </w:p>
          <w:p w14:paraId="14CCBFDE">
            <w:pPr>
              <w:widowControl/>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与全部政策要求以及卫健委要求的平台对接。</w:t>
            </w:r>
          </w:p>
          <w:p w14:paraId="61D21F43">
            <w:pPr>
              <w:widowControl/>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验收时所有接口</w:t>
            </w:r>
            <w:r>
              <w:rPr>
                <w:rFonts w:hint="eastAsia" w:ascii="宋体" w:hAnsi="宋体" w:eastAsia="宋体" w:cs="宋体"/>
                <w:color w:val="auto"/>
                <w:kern w:val="0"/>
                <w:sz w:val="21"/>
                <w:szCs w:val="21"/>
                <w:highlight w:val="none"/>
                <w:lang w:val="en-US" w:eastAsia="zh-CN" w:bidi="ar"/>
              </w:rPr>
              <w:t>需提供接口文档与测试报告</w:t>
            </w:r>
            <w:r>
              <w:rPr>
                <w:rFonts w:hint="eastAsia" w:ascii="宋体" w:hAnsi="宋体" w:cs="宋体"/>
                <w:color w:val="auto"/>
                <w:kern w:val="0"/>
                <w:sz w:val="21"/>
                <w:szCs w:val="21"/>
                <w:highlight w:val="none"/>
                <w:lang w:val="en-US" w:eastAsia="zh-CN" w:bidi="ar"/>
              </w:rPr>
              <w:t>。</w:t>
            </w:r>
          </w:p>
        </w:tc>
      </w:tr>
    </w:tbl>
    <w:p w14:paraId="48050649">
      <w:pPr>
        <w:pStyle w:val="4"/>
        <w:ind w:firstLine="0"/>
        <w:rPr>
          <w:rFonts w:hint="eastAsia"/>
          <w:color w:val="auto"/>
          <w:highlight w:val="none"/>
        </w:rPr>
      </w:pPr>
    </w:p>
    <w:p w14:paraId="3A188ED5">
      <w:pPr>
        <w:pStyle w:val="9"/>
        <w:rPr>
          <w:rFonts w:hint="eastAsia"/>
          <w:color w:val="auto"/>
          <w:highlight w:val="none"/>
        </w:rPr>
      </w:pPr>
    </w:p>
    <w:p w14:paraId="2D23CED2">
      <w:pPr>
        <w:pStyle w:val="3"/>
        <w:spacing w:line="360" w:lineRule="auto"/>
        <w:rPr>
          <w:rFonts w:hint="eastAsia"/>
          <w:color w:val="auto"/>
          <w:sz w:val="28"/>
          <w:szCs w:val="28"/>
          <w:highlight w:val="none"/>
          <w:lang w:val="en-US" w:eastAsia="zh-CN"/>
        </w:rPr>
      </w:pPr>
      <w:r>
        <w:rPr>
          <w:rFonts w:hint="eastAsia"/>
          <w:color w:val="auto"/>
          <w:sz w:val="28"/>
          <w:szCs w:val="28"/>
          <w:highlight w:val="none"/>
          <w:lang w:val="en-US" w:eastAsia="zh-CN"/>
        </w:rPr>
        <w:t>3.2专病全程管理系统</w:t>
      </w:r>
    </w:p>
    <w:p w14:paraId="4FBEF1CE">
      <w:pPr>
        <w:pStyle w:val="9"/>
        <w:rPr>
          <w:rFonts w:hint="eastAsia"/>
          <w:b/>
          <w:bCs/>
          <w:color w:val="auto"/>
          <w:highlight w:val="none"/>
        </w:rPr>
      </w:pPr>
    </w:p>
    <w:tbl>
      <w:tblPr>
        <w:tblStyle w:val="7"/>
        <w:tblW w:w="8282"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29"/>
        <w:gridCol w:w="1763"/>
        <w:gridCol w:w="1515"/>
        <w:gridCol w:w="4575"/>
      </w:tblGrid>
      <w:tr w14:paraId="605E25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29" w:type="dxa"/>
            <w:tcBorders>
              <w:bottom w:val="single" w:color="000000" w:sz="4" w:space="0"/>
              <w:right w:val="single" w:color="000000" w:sz="4" w:space="0"/>
            </w:tcBorders>
            <w:shd w:val="clear" w:color="auto" w:fill="auto"/>
            <w:noWrap w:val="0"/>
            <w:vAlign w:val="center"/>
          </w:tcPr>
          <w:p w14:paraId="538204F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63" w:type="dxa"/>
            <w:tcBorders>
              <w:left w:val="single" w:color="000000" w:sz="4" w:space="0"/>
              <w:bottom w:val="single" w:color="000000" w:sz="4" w:space="0"/>
              <w:right w:val="single" w:color="000000" w:sz="4" w:space="0"/>
            </w:tcBorders>
            <w:shd w:val="clear" w:color="auto" w:fill="auto"/>
            <w:noWrap w:val="0"/>
            <w:vAlign w:val="center"/>
          </w:tcPr>
          <w:p w14:paraId="232DACC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一级功能</w:t>
            </w:r>
          </w:p>
        </w:tc>
        <w:tc>
          <w:tcPr>
            <w:tcW w:w="1515" w:type="dxa"/>
            <w:tcBorders>
              <w:left w:val="single" w:color="000000" w:sz="4" w:space="0"/>
              <w:bottom w:val="single" w:color="000000" w:sz="4" w:space="0"/>
              <w:right w:val="single" w:color="000000" w:sz="4" w:space="0"/>
            </w:tcBorders>
            <w:shd w:val="clear" w:color="auto" w:fill="auto"/>
            <w:noWrap w:val="0"/>
            <w:vAlign w:val="center"/>
          </w:tcPr>
          <w:p w14:paraId="1FBF24C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二级功能</w:t>
            </w:r>
          </w:p>
        </w:tc>
        <w:tc>
          <w:tcPr>
            <w:tcW w:w="4575" w:type="dxa"/>
            <w:tcBorders>
              <w:left w:val="single" w:color="000000" w:sz="4" w:space="0"/>
              <w:bottom w:val="single" w:color="000000" w:sz="4" w:space="0"/>
            </w:tcBorders>
            <w:shd w:val="clear" w:color="auto" w:fill="auto"/>
            <w:noWrap w:val="0"/>
            <w:vAlign w:val="center"/>
          </w:tcPr>
          <w:p w14:paraId="543C62F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功能描述</w:t>
            </w:r>
          </w:p>
        </w:tc>
      </w:tr>
      <w:tr w14:paraId="767624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55045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D6AF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3D30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▲管理重点配置库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51924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支持按核心指标、次要指标、主要症状、次要症状、自我管理、生活方式的维度去维护不同病种的管理重点模板。</w:t>
            </w:r>
          </w:p>
        </w:tc>
      </w:tr>
      <w:tr w14:paraId="617BD6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6A05D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FAB0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02AC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专病指导方案库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0D712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支持按病种维护指导方案模板内容，支持自定义内容模块。</w:t>
            </w:r>
          </w:p>
        </w:tc>
      </w:tr>
      <w:tr w14:paraId="7E5ADE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40F345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E4E2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B2A6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专病管理分层库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3FFD7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支持按病种配置管理路径和分层，支持多级分层管理。</w:t>
            </w:r>
          </w:p>
        </w:tc>
      </w:tr>
      <w:tr w14:paraId="2DAD8E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9B35F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BCCC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知识库管理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7ACE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管理总结模板库</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AB81D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支持自定义维护管理总结的模板内容。</w:t>
            </w:r>
          </w:p>
        </w:tc>
      </w:tr>
      <w:tr w14:paraId="23968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82F85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318C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AF1F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专病指导方案</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57BECE3">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支持引用专病指导方案，支持基于患者的病情情况，生成指导方案。</w:t>
            </w:r>
          </w:p>
        </w:tc>
      </w:tr>
      <w:tr w14:paraId="264F46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419F0E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8F52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D14F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饮食管理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5E3D7E4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1、支持根据患者需求和管理需求提供个性化餐单；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2、支持为管理患者制定个性化的饮食打卡计划，系统按计划通知患者进行打卡；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3、支持在群聊或打卡记录处进行饮食点评，点评记录反馈在群聊中；</w:t>
            </w:r>
          </w:p>
        </w:tc>
      </w:tr>
      <w:tr w14:paraId="3DF62A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600A42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D999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84E7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运动管理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0DCBE5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1、根据根据运动采集量表以及能量需求推荐运动项目及运动量，自动化生成运动计划，包括推荐的运动强度、项目、运动时间、频率、运动注意事项等内容。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2、也可手动选择模板制定运动计划；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3、制定运动计划生成打卡计划，患者进行打卡，系统自动生成周小结。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支持在运动记录以及管理总结中生成运动总结情况。</w:t>
            </w:r>
          </w:p>
        </w:tc>
      </w:tr>
      <w:tr w14:paraId="5EB4A1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17CB8A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2391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90C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个性化宣教</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AED32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支持针对用户健康特点，根据其年龄、性别、疾病、风险因素、节气等画像标签要素自动定向推送与之匹配的相关健康宣教文章。</w:t>
            </w:r>
          </w:p>
        </w:tc>
      </w:tr>
      <w:tr w14:paraId="7172B3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A6E3A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B400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F75C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▲诊前病情整理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5AB0B1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支持在患者就诊前，生成诊前病情整理报告，推送给主管医生及患者。</w:t>
            </w:r>
          </w:p>
        </w:tc>
      </w:tr>
      <w:tr w14:paraId="438133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14C6B9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469B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63ED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症状记录</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F21AF2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支持记录患者的症状变化，快速发起症状随访，跟踪症状进展。</w:t>
            </w:r>
          </w:p>
        </w:tc>
      </w:tr>
      <w:tr w14:paraId="129635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4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4D0881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EBE8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97F8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▲运营驾驶舱</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B303A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1、关注会员数统计:支持查看机构关注会员数统计、每月增长数、会员关注时长、关注团队及医生的排行，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2、签约患者数统计:支持查看已签约的患者数统计，每月签约和结案数、患者年龄性别的分布、管理进度分布、脱落数因分布、医生和团队管理的数量排行。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3、服务包数据统计:支持查看在售的服务包数、购买人次的增重趋势、价格区间的分布。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4、待办任务数据统计:支持查看各管理角色及患者的待办任务执行及时情况统计。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5、管理者统计:支持管理者角色分布组成、数量等情况查看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6、管理效果数据统计:可按病种查看关键指标管理前后的均值、达标情况统计。查看满意度、复诊率等统计。</w:t>
            </w:r>
          </w:p>
        </w:tc>
      </w:tr>
      <w:tr w14:paraId="2C7077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2D3B47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0F4B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C45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会员关注团队报表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1D4384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支持查询医护团队的患者关注人数，支持导出Excel格式文件。</w:t>
            </w:r>
          </w:p>
        </w:tc>
      </w:tr>
      <w:tr w14:paraId="2E4B2D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357896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5422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C6F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会员关注医生报表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0B826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支持查询每位医生的患者关注人数，支持导出Excel格式文件。</w:t>
            </w:r>
          </w:p>
        </w:tc>
      </w:tr>
      <w:tr w14:paraId="7122C5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2E2D74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B6AD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42B1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会员脱落报表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B21B1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支持查询患者脱落情况，支持按科室、团队、服务包条件筛选，支持导出Exce格式文件。</w:t>
            </w:r>
          </w:p>
        </w:tc>
      </w:tr>
      <w:tr w14:paraId="7AB519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3DF07D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4028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9D0C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团队管理患者报表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FC5BE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支持查询团队管理的患者信息，支持按科室、团队、服务包条件筛选，支持导出Excel格式文件。</w:t>
            </w:r>
          </w:p>
        </w:tc>
      </w:tr>
      <w:tr w14:paraId="09646F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2EA713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7B2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E70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患者诊断报表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0A5ABCE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支持查询患者的诊断信息，支持按科室、团队、服务包条件筛选，支持导出Excel格式文件。</w:t>
            </w:r>
          </w:p>
        </w:tc>
      </w:tr>
      <w:tr w14:paraId="524936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1C6465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3669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392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客户明细报表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21032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支持查询加入管理的患者数明细。</w:t>
            </w:r>
          </w:p>
        </w:tc>
      </w:tr>
      <w:tr w14:paraId="5269DE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2CA27E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047D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1FF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工作量报表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EEAE9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支持按医生团队统计在管人数、新加入管理人数、脱落人数、结案人数等等；</w:t>
            </w:r>
          </w:p>
        </w:tc>
      </w:tr>
      <w:tr w14:paraId="5D99F7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456728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7BA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运营统计分析</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4E2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患者情况统计报表</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69A8BF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按患者维度进行每个患者管理周期、服务记录次数、服务管关键节点完成情况等相关信息统计展示；</w:t>
            </w:r>
          </w:p>
        </w:tc>
      </w:tr>
      <w:tr w14:paraId="17D6AF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6B615A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DA5B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单项满意度统计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3DF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单项满意度统计</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6C7B19D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支持按人员满意度和服务满意度两个维度查看机构所有管理人员的单项满意度统计情况。</w:t>
            </w:r>
          </w:p>
        </w:tc>
      </w:tr>
      <w:tr w14:paraId="6361CB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0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2DB879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3584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单项满意度明细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F364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单项满意度明细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BE69A0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支持查询机构所有管理人员的单项满意度明细，支持按推送时间、推送人、评价日期、评价结果、服务类型条件搜索；如有不满意，可进行处理备注操作。</w:t>
            </w:r>
          </w:p>
        </w:tc>
      </w:tr>
      <w:tr w14:paraId="14E91E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1E6CD9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7886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服务包满意度统计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F1B9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服务包满意度统计</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980998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支持按服务包及管理者两个维度查看机构所有服务包满意度统计情况。</w:t>
            </w:r>
          </w:p>
        </w:tc>
      </w:tr>
      <w:tr w14:paraId="434D8B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263AE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9B88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服务包满意度明细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5E1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服务包满意度明细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860AB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支持查询机构所有服务包满意度明细，支持按推送日期、提交日期、评价人、服务包、管理类型条件搜索；如有不满意，可进行处理备注操作。</w:t>
            </w:r>
          </w:p>
        </w:tc>
      </w:tr>
      <w:tr w14:paraId="544FAC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1D031E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793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我的单项服务满意度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E07E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我的单项服务满意度</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2754BE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支持查询我管理患者的所有单项服务满意度情况，如有不满意，可进行处理备注操作。</w:t>
            </w:r>
          </w:p>
        </w:tc>
      </w:tr>
      <w:tr w14:paraId="53DDB2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39C6B5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AACD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我的服务包满意度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9E5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我的服务包满意度</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3D60EEC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支持查询我管理的所有服务包的满意度情况，如有不满意，可进行处理备注操作。</w:t>
            </w:r>
          </w:p>
        </w:tc>
      </w:tr>
      <w:tr w14:paraId="3929A6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7AEBFE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80C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图文咨询满意度明细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94D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图文咨询满意度明细</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490E1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支持查询机构所有医生的图文咨询满意度情况，如有不满意，可进行处理备注操作。</w:t>
            </w:r>
          </w:p>
        </w:tc>
      </w:tr>
      <w:tr w14:paraId="10EF6F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431A0B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EAB9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图文咨询满意度统计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93E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图文咨询满意度统计</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4F646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支持统计机构所有医生的图文咨询满意度分布情况，不同评价等级的占比。</w:t>
            </w:r>
          </w:p>
        </w:tc>
      </w:tr>
      <w:tr w14:paraId="129EEB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9F86B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04D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医疗级图片识别</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52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门诊病历识别</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DE4E3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支持上传患者门诊病历图片，通过OCR技术进行精准识别。识别完成后，可对结果进行校对保存。</w:t>
            </w:r>
          </w:p>
        </w:tc>
      </w:tr>
      <w:tr w14:paraId="722C3C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5A0419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66FF5">
            <w:pPr>
              <w:jc w:val="center"/>
              <w:rPr>
                <w:rFonts w:hint="eastAsia" w:ascii="宋体" w:hAnsi="宋体" w:eastAsia="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9B0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住院病历识别</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2051677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支持上传患者住院病历图片，通过OCR技术进行精准识别。识别完成后，可对结果进行校对保存。</w:t>
            </w:r>
          </w:p>
        </w:tc>
      </w:tr>
      <w:tr w14:paraId="404B5D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3AB978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1CC69">
            <w:pPr>
              <w:jc w:val="center"/>
              <w:rPr>
                <w:rFonts w:hint="eastAsia" w:ascii="宋体" w:hAnsi="宋体" w:eastAsia="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F82B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电子处方识别</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4AF06B0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支持上传患者西药处方和中药处方图片，通过OCR技术进行精准识别。识别完成后，可对结果进行校对保存。</w:t>
            </w:r>
          </w:p>
        </w:tc>
      </w:tr>
      <w:tr w14:paraId="5C950F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43F596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D954E">
            <w:pPr>
              <w:jc w:val="center"/>
              <w:rPr>
                <w:rFonts w:hint="eastAsia" w:ascii="宋体" w:hAnsi="宋体" w:eastAsia="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A3A9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化验单识别</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7E94828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支持上传患者化验单报告图片，通过OCR技术进行精准识别。识别完成后，可对结果进行校对保存。</w:t>
            </w:r>
          </w:p>
        </w:tc>
      </w:tr>
      <w:tr w14:paraId="45A29B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209D4F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30018">
            <w:pPr>
              <w:jc w:val="center"/>
              <w:rPr>
                <w:rFonts w:hint="eastAsia" w:ascii="宋体" w:hAnsi="宋体" w:eastAsia="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E5EB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影像报告识别</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0B46A7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支持上传患者影像报告图片，通过OCR技术进行精准识别。识别完成后，可对结果进行校对保存。</w:t>
            </w:r>
          </w:p>
        </w:tc>
      </w:tr>
      <w:tr w14:paraId="0B8223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bottom w:val="single" w:color="000000" w:sz="4" w:space="0"/>
              <w:right w:val="single" w:color="000000" w:sz="4" w:space="0"/>
            </w:tcBorders>
            <w:shd w:val="clear" w:color="auto" w:fill="FFFFFF"/>
            <w:noWrap w:val="0"/>
            <w:vAlign w:val="center"/>
          </w:tcPr>
          <w:p w14:paraId="31744B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0BFF5">
            <w:pPr>
              <w:jc w:val="center"/>
              <w:rPr>
                <w:rFonts w:hint="eastAsia" w:ascii="宋体" w:hAnsi="宋体" w:eastAsia="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CDB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病理报告识别</w:t>
            </w:r>
          </w:p>
        </w:tc>
        <w:tc>
          <w:tcPr>
            <w:tcW w:w="4575" w:type="dxa"/>
            <w:tcBorders>
              <w:top w:val="single" w:color="000000" w:sz="4" w:space="0"/>
              <w:left w:val="single" w:color="000000" w:sz="4" w:space="0"/>
              <w:bottom w:val="single" w:color="000000" w:sz="4" w:space="0"/>
            </w:tcBorders>
            <w:shd w:val="clear" w:color="auto" w:fill="FFFFFF"/>
            <w:noWrap w:val="0"/>
            <w:vAlign w:val="center"/>
          </w:tcPr>
          <w:p w14:paraId="18A148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支持上传患者病理报告图片，通过OCR技术进行精准识别。识别完成后，可对结果进行校对保存。</w:t>
            </w:r>
          </w:p>
        </w:tc>
      </w:tr>
      <w:tr w14:paraId="39FC64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9" w:type="dxa"/>
            <w:tcBorders>
              <w:top w:val="single" w:color="000000" w:sz="4" w:space="0"/>
              <w:right w:val="single" w:color="000000" w:sz="4" w:space="0"/>
            </w:tcBorders>
            <w:shd w:val="clear" w:color="auto" w:fill="FFFFFF"/>
            <w:noWrap w:val="0"/>
            <w:vAlign w:val="center"/>
          </w:tcPr>
          <w:p w14:paraId="27CDF3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c>
          <w:tcPr>
            <w:tcW w:w="1763" w:type="dxa"/>
            <w:vMerge w:val="continue"/>
            <w:tcBorders>
              <w:top w:val="single" w:color="000000" w:sz="4" w:space="0"/>
              <w:left w:val="single" w:color="000000" w:sz="4" w:space="0"/>
              <w:right w:val="single" w:color="000000" w:sz="4" w:space="0"/>
            </w:tcBorders>
            <w:shd w:val="clear" w:color="auto" w:fill="FFFFFF"/>
            <w:noWrap w:val="0"/>
            <w:vAlign w:val="center"/>
          </w:tcPr>
          <w:p w14:paraId="2CFD735F">
            <w:pPr>
              <w:jc w:val="center"/>
              <w:rPr>
                <w:rFonts w:hint="eastAsia" w:ascii="宋体" w:hAnsi="宋体" w:eastAsia="宋体" w:cs="宋体"/>
                <w:color w:val="auto"/>
                <w:sz w:val="21"/>
                <w:szCs w:val="21"/>
                <w:highlight w:val="none"/>
              </w:rPr>
            </w:pPr>
          </w:p>
        </w:tc>
        <w:tc>
          <w:tcPr>
            <w:tcW w:w="1515" w:type="dxa"/>
            <w:tcBorders>
              <w:top w:val="single" w:color="000000" w:sz="4" w:space="0"/>
              <w:left w:val="single" w:color="000000" w:sz="4" w:space="0"/>
              <w:right w:val="single" w:color="000000" w:sz="4" w:space="0"/>
            </w:tcBorders>
            <w:shd w:val="clear" w:color="auto" w:fill="FFFFFF"/>
            <w:noWrap w:val="0"/>
            <w:vAlign w:val="center"/>
          </w:tcPr>
          <w:p w14:paraId="0D05BC7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体检报告识别</w:t>
            </w:r>
          </w:p>
        </w:tc>
        <w:tc>
          <w:tcPr>
            <w:tcW w:w="4575" w:type="dxa"/>
            <w:tcBorders>
              <w:top w:val="single" w:color="000000" w:sz="4" w:space="0"/>
              <w:left w:val="single" w:color="000000" w:sz="4" w:space="0"/>
            </w:tcBorders>
            <w:shd w:val="clear" w:color="auto" w:fill="FFFFFF"/>
            <w:noWrap w:val="0"/>
            <w:vAlign w:val="center"/>
          </w:tcPr>
          <w:p w14:paraId="58D38E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支持上传患者体检报告PDF文件，通过OCR技术进行精准识别。识别完成后，可对结果进行校对保存。</w:t>
            </w:r>
          </w:p>
        </w:tc>
      </w:tr>
    </w:tbl>
    <w:p w14:paraId="6EADE63C">
      <w:pPr>
        <w:pStyle w:val="9"/>
        <w:rPr>
          <w:b/>
          <w:bCs/>
          <w:color w:val="auto"/>
          <w:highlight w:val="none"/>
        </w:rPr>
      </w:pPr>
    </w:p>
    <w:p w14:paraId="58A38AB6">
      <w:pPr>
        <w:pStyle w:val="3"/>
        <w:spacing w:line="360" w:lineRule="auto"/>
        <w:rPr>
          <w:rFonts w:hint="eastAsia"/>
          <w:color w:val="auto"/>
          <w:sz w:val="28"/>
          <w:szCs w:val="28"/>
          <w:highlight w:val="none"/>
          <w:lang w:val="en-US" w:eastAsia="zh-CN"/>
        </w:rPr>
      </w:pPr>
      <w:r>
        <w:rPr>
          <w:rFonts w:hint="eastAsia"/>
          <w:color w:val="auto"/>
          <w:sz w:val="28"/>
          <w:szCs w:val="28"/>
          <w:highlight w:val="none"/>
          <w:lang w:val="en-US" w:eastAsia="zh-CN"/>
        </w:rPr>
        <w:t>3.3特需服务运营管理系统</w:t>
      </w:r>
    </w:p>
    <w:p w14:paraId="75AE9711">
      <w:pPr>
        <w:pStyle w:val="9"/>
        <w:rPr>
          <w:rFonts w:hint="eastAsia"/>
          <w:b/>
          <w:bCs/>
          <w:color w:val="auto"/>
          <w:highlight w:val="none"/>
        </w:rPr>
      </w:pPr>
    </w:p>
    <w:tbl>
      <w:tblPr>
        <w:tblStyle w:val="7"/>
        <w:tblW w:w="8282" w:type="dxa"/>
        <w:tblInd w:w="93" w:type="dxa"/>
        <w:tblLayout w:type="fixed"/>
        <w:tblCellMar>
          <w:top w:w="0" w:type="dxa"/>
          <w:left w:w="108" w:type="dxa"/>
          <w:bottom w:w="0" w:type="dxa"/>
          <w:right w:w="108" w:type="dxa"/>
        </w:tblCellMar>
      </w:tblPr>
      <w:tblGrid>
        <w:gridCol w:w="422"/>
        <w:gridCol w:w="1762"/>
        <w:gridCol w:w="1523"/>
        <w:gridCol w:w="4575"/>
      </w:tblGrid>
      <w:tr w14:paraId="2100C960">
        <w:tblPrEx>
          <w:tblCellMar>
            <w:top w:w="0" w:type="dxa"/>
            <w:left w:w="108" w:type="dxa"/>
            <w:bottom w:w="0" w:type="dxa"/>
            <w:right w:w="108" w:type="dxa"/>
          </w:tblCellMar>
        </w:tblPrEx>
        <w:trPr>
          <w:trHeight w:val="280" w:hRule="atLeast"/>
        </w:trPr>
        <w:tc>
          <w:tcPr>
            <w:tcW w:w="422" w:type="dxa"/>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3BF3629B">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序号</w:t>
            </w:r>
          </w:p>
        </w:tc>
        <w:tc>
          <w:tcPr>
            <w:tcW w:w="1762"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5D5FB3A">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一级功能</w:t>
            </w:r>
          </w:p>
        </w:tc>
        <w:tc>
          <w:tcPr>
            <w:tcW w:w="1523"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80F4A28">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二级功能</w:t>
            </w:r>
          </w:p>
        </w:tc>
        <w:tc>
          <w:tcPr>
            <w:tcW w:w="4575" w:type="dxa"/>
            <w:tcBorders>
              <w:top w:val="single" w:color="000000" w:sz="8" w:space="0"/>
              <w:left w:val="single" w:color="000000" w:sz="4" w:space="0"/>
              <w:bottom w:val="single" w:color="000000" w:sz="4" w:space="0"/>
              <w:right w:val="single" w:color="000000" w:sz="8" w:space="0"/>
            </w:tcBorders>
            <w:shd w:val="clear" w:color="auto" w:fill="auto"/>
            <w:noWrap w:val="0"/>
            <w:vAlign w:val="center"/>
          </w:tcPr>
          <w:p w14:paraId="08CE36ED">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功能描述</w:t>
            </w:r>
          </w:p>
        </w:tc>
      </w:tr>
      <w:tr w14:paraId="11882515">
        <w:tblPrEx>
          <w:tblCellMar>
            <w:top w:w="0" w:type="dxa"/>
            <w:left w:w="108" w:type="dxa"/>
            <w:bottom w:w="0" w:type="dxa"/>
            <w:right w:w="108" w:type="dxa"/>
          </w:tblCellMar>
        </w:tblPrEx>
        <w:trPr>
          <w:trHeight w:val="260" w:hRule="atLeast"/>
        </w:trPr>
        <w:tc>
          <w:tcPr>
            <w:tcW w:w="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BACE9">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6F45D">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服务包运营配置</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E454A">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服务权益管理</w:t>
            </w:r>
          </w:p>
        </w:tc>
        <w:tc>
          <w:tcPr>
            <w:tcW w:w="4575" w:type="dxa"/>
            <w:tcBorders>
              <w:top w:val="single" w:color="000000" w:sz="4" w:space="0"/>
              <w:left w:val="nil"/>
              <w:bottom w:val="single" w:color="000000" w:sz="4" w:space="0"/>
              <w:right w:val="single" w:color="000000" w:sz="8" w:space="0"/>
            </w:tcBorders>
            <w:shd w:val="clear" w:color="auto" w:fill="FFFFFF"/>
            <w:noWrap w:val="0"/>
            <w:vAlign w:val="center"/>
          </w:tcPr>
          <w:p w14:paraId="0D8BAF06">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支持维护加入签约管理的患者服务权益配置。</w:t>
            </w:r>
          </w:p>
        </w:tc>
      </w:tr>
      <w:tr w14:paraId="5CAC08BB">
        <w:tblPrEx>
          <w:tblCellMar>
            <w:top w:w="0" w:type="dxa"/>
            <w:left w:w="108" w:type="dxa"/>
            <w:bottom w:w="0" w:type="dxa"/>
            <w:right w:w="108" w:type="dxa"/>
          </w:tblCellMar>
        </w:tblPrEx>
        <w:trPr>
          <w:trHeight w:val="2340" w:hRule="atLeast"/>
        </w:trPr>
        <w:tc>
          <w:tcPr>
            <w:tcW w:w="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E46E2">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2B81B">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服务包运营配置</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808E0">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▲服务包管理</w:t>
            </w:r>
          </w:p>
        </w:tc>
        <w:tc>
          <w:tcPr>
            <w:tcW w:w="4575" w:type="dxa"/>
            <w:tcBorders>
              <w:top w:val="single" w:color="000000" w:sz="4" w:space="0"/>
              <w:left w:val="nil"/>
              <w:bottom w:val="single" w:color="000000" w:sz="4" w:space="0"/>
              <w:right w:val="single" w:color="000000" w:sz="8" w:space="0"/>
            </w:tcBorders>
            <w:shd w:val="clear" w:color="auto" w:fill="FFFFFF"/>
            <w:noWrap w:val="0"/>
            <w:vAlign w:val="center"/>
          </w:tcPr>
          <w:p w14:paraId="6D68A71C">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1、支持服务包基础信息配置管理，可根据专科需要自定义配置跳过的服管理流程；</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2、支持设置管理流程是否自动完成。可设置默认档案、入组评测量表等信息采集患者情况；</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3、服务包可管理患者治疗权益、挂号权益等信息配置，患者购买服务包相关权益后的管理核销；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支持控制服务包患者的咨询次数上限，可控制是否建立患者专属群；</w:t>
            </w:r>
          </w:p>
        </w:tc>
      </w:tr>
      <w:tr w14:paraId="71BC61D0">
        <w:tblPrEx>
          <w:tblCellMar>
            <w:top w:w="0" w:type="dxa"/>
            <w:left w:w="108" w:type="dxa"/>
            <w:bottom w:w="0" w:type="dxa"/>
            <w:right w:w="108" w:type="dxa"/>
          </w:tblCellMar>
        </w:tblPrEx>
        <w:trPr>
          <w:trHeight w:val="260" w:hRule="atLeast"/>
        </w:trPr>
        <w:tc>
          <w:tcPr>
            <w:tcW w:w="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46A35">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A94AF">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服务包运营配置</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27499">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套餐卡管理</w:t>
            </w:r>
          </w:p>
        </w:tc>
        <w:tc>
          <w:tcPr>
            <w:tcW w:w="4575" w:type="dxa"/>
            <w:tcBorders>
              <w:top w:val="single" w:color="000000" w:sz="4" w:space="0"/>
              <w:left w:val="nil"/>
              <w:bottom w:val="single" w:color="000000" w:sz="4" w:space="0"/>
              <w:right w:val="single" w:color="000000" w:sz="8" w:space="0"/>
            </w:tcBorders>
            <w:shd w:val="clear" w:color="auto" w:fill="FFFFFF"/>
            <w:noWrap w:val="0"/>
            <w:vAlign w:val="center"/>
          </w:tcPr>
          <w:p w14:paraId="43EFB114">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支持按服务包创建套餐卡、控制批次库存</w:t>
            </w:r>
          </w:p>
        </w:tc>
      </w:tr>
      <w:tr w14:paraId="7F0294ED">
        <w:tblPrEx>
          <w:tblCellMar>
            <w:top w:w="0" w:type="dxa"/>
            <w:left w:w="108" w:type="dxa"/>
            <w:bottom w:w="0" w:type="dxa"/>
            <w:right w:w="108" w:type="dxa"/>
          </w:tblCellMar>
        </w:tblPrEx>
        <w:trPr>
          <w:trHeight w:val="1820" w:hRule="atLeast"/>
        </w:trPr>
        <w:tc>
          <w:tcPr>
            <w:tcW w:w="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3EAF3">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95860">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服务包运营配置</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8D901">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商品管理</w:t>
            </w:r>
          </w:p>
        </w:tc>
        <w:tc>
          <w:tcPr>
            <w:tcW w:w="4575" w:type="dxa"/>
            <w:tcBorders>
              <w:top w:val="single" w:color="000000" w:sz="4" w:space="0"/>
              <w:left w:val="nil"/>
              <w:bottom w:val="single" w:color="000000" w:sz="4" w:space="0"/>
              <w:right w:val="single" w:color="000000" w:sz="8" w:space="0"/>
            </w:tcBorders>
            <w:shd w:val="clear" w:color="auto" w:fill="FFFFFF"/>
            <w:noWrap w:val="0"/>
            <w:vAlign w:val="center"/>
          </w:tcPr>
          <w:p w14:paraId="0146D37C">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1、支持将服务包设置成商品并配置在医生主页进行销售，可配置商品图片、介绍、规格、价格、库存等信息；</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2、控制是否需要完善个人身份信息才能购买服务；</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支持按医生、团队下设置专属服务包，患者可通过扫码进入医生主页下购买商品。</w:t>
            </w:r>
          </w:p>
        </w:tc>
      </w:tr>
      <w:tr w14:paraId="0D4DE78E">
        <w:tblPrEx>
          <w:tblCellMar>
            <w:top w:w="0" w:type="dxa"/>
            <w:left w:w="108" w:type="dxa"/>
            <w:bottom w:w="0" w:type="dxa"/>
            <w:right w:w="108" w:type="dxa"/>
          </w:tblCellMar>
        </w:tblPrEx>
        <w:trPr>
          <w:trHeight w:val="20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A2D0D">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A7504">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服务包运营配置</w:t>
            </w:r>
          </w:p>
        </w:tc>
        <w:tc>
          <w:tcPr>
            <w:tcW w:w="1523" w:type="dxa"/>
            <w:tcBorders>
              <w:top w:val="nil"/>
              <w:left w:val="single" w:color="000000" w:sz="4" w:space="0"/>
              <w:bottom w:val="single" w:color="000000" w:sz="4" w:space="0"/>
              <w:right w:val="single" w:color="000000" w:sz="4" w:space="0"/>
            </w:tcBorders>
            <w:shd w:val="clear" w:color="auto" w:fill="FFFFFF"/>
            <w:noWrap w:val="0"/>
            <w:vAlign w:val="center"/>
          </w:tcPr>
          <w:p w14:paraId="17D19BFE">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服务包运营报表</w:t>
            </w:r>
          </w:p>
        </w:tc>
        <w:tc>
          <w:tcPr>
            <w:tcW w:w="4575" w:type="dxa"/>
            <w:tcBorders>
              <w:top w:val="single" w:color="000000" w:sz="4" w:space="0"/>
              <w:left w:val="nil"/>
              <w:bottom w:val="single" w:color="000000" w:sz="4" w:space="0"/>
              <w:right w:val="single" w:color="000000" w:sz="8" w:space="0"/>
            </w:tcBorders>
            <w:shd w:val="clear" w:color="auto" w:fill="FFFFFF"/>
            <w:noWrap w:val="0"/>
            <w:vAlign w:val="center"/>
          </w:tcPr>
          <w:p w14:paraId="732E4C20">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1、医生管理报表：包括医生的管理人数、结案人数、脱落、收入、退款等数据报表统计；</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2、团队管理报表：包括团队的管理人数、结案人数、脱落、收入、退款等数据报表统计；</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3、服务包报表：从服务包的维度提供相关统计分析报表；</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4、科室报表：从科室维度统计科室提供运营统计分析报表；</w:t>
            </w:r>
          </w:p>
        </w:tc>
      </w:tr>
    </w:tbl>
    <w:p w14:paraId="4C89654D">
      <w:pPr>
        <w:pStyle w:val="9"/>
        <w:rPr>
          <w:b/>
          <w:bCs/>
          <w:color w:val="auto"/>
          <w:highlight w:val="none"/>
        </w:rPr>
      </w:pPr>
    </w:p>
    <w:p w14:paraId="5EE3B0A6">
      <w:pPr>
        <w:pStyle w:val="3"/>
        <w:spacing w:line="360" w:lineRule="auto"/>
        <w:rPr>
          <w:rFonts w:hint="default"/>
          <w:color w:val="auto"/>
          <w:sz w:val="28"/>
          <w:szCs w:val="28"/>
          <w:highlight w:val="none"/>
          <w:lang w:val="en-US" w:eastAsia="zh-CN"/>
        </w:rPr>
      </w:pPr>
      <w:r>
        <w:rPr>
          <w:rFonts w:hint="eastAsia"/>
          <w:color w:val="auto"/>
          <w:sz w:val="28"/>
          <w:szCs w:val="28"/>
          <w:highlight w:val="none"/>
          <w:lang w:val="en-US" w:eastAsia="zh-CN"/>
        </w:rPr>
        <w:t>3.4中医数智食疗健康管理系统</w:t>
      </w:r>
    </w:p>
    <w:tbl>
      <w:tblPr>
        <w:tblStyle w:val="7"/>
        <w:tblW w:w="8215" w:type="dxa"/>
        <w:tblInd w:w="9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24"/>
        <w:gridCol w:w="1755"/>
        <w:gridCol w:w="6036"/>
      </w:tblGrid>
      <w:tr w14:paraId="12F33D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0" w:hRule="atLeast"/>
        </w:trPr>
        <w:tc>
          <w:tcPr>
            <w:tcW w:w="424" w:type="dxa"/>
            <w:tcBorders>
              <w:bottom w:val="single" w:color="000000" w:sz="4" w:space="0"/>
              <w:right w:val="single" w:color="000000" w:sz="4" w:space="0"/>
            </w:tcBorders>
            <w:shd w:val="clear" w:color="auto" w:fill="auto"/>
            <w:noWrap w:val="0"/>
            <w:vAlign w:val="center"/>
          </w:tcPr>
          <w:p w14:paraId="4BDE677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55" w:type="dxa"/>
            <w:tcBorders>
              <w:left w:val="single" w:color="000000" w:sz="4" w:space="0"/>
              <w:bottom w:val="single" w:color="000000" w:sz="4" w:space="0"/>
              <w:right w:val="single" w:color="000000" w:sz="4" w:space="0"/>
            </w:tcBorders>
            <w:shd w:val="clear" w:color="auto" w:fill="auto"/>
            <w:noWrap w:val="0"/>
            <w:vAlign w:val="center"/>
          </w:tcPr>
          <w:p w14:paraId="2597D0C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一级功能</w:t>
            </w:r>
          </w:p>
        </w:tc>
        <w:tc>
          <w:tcPr>
            <w:tcW w:w="6036" w:type="dxa"/>
            <w:tcBorders>
              <w:left w:val="single" w:color="000000" w:sz="4" w:space="0"/>
              <w:bottom w:val="single" w:color="000000" w:sz="4" w:space="0"/>
            </w:tcBorders>
            <w:shd w:val="clear" w:color="auto" w:fill="auto"/>
            <w:noWrap w:val="0"/>
            <w:vAlign w:val="center"/>
          </w:tcPr>
          <w:p w14:paraId="0F9920D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功能描述</w:t>
            </w:r>
          </w:p>
        </w:tc>
      </w:tr>
      <w:tr w14:paraId="561B37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55" w:hRule="atLeast"/>
        </w:trPr>
        <w:tc>
          <w:tcPr>
            <w:tcW w:w="424" w:type="dxa"/>
            <w:tcBorders>
              <w:top w:val="single" w:color="000000" w:sz="4" w:space="0"/>
              <w:bottom w:val="single" w:color="000000" w:sz="4" w:space="0"/>
              <w:right w:val="single" w:color="000000" w:sz="4" w:space="0"/>
            </w:tcBorders>
            <w:shd w:val="clear" w:color="auto" w:fill="FFFFFF"/>
            <w:noWrap w:val="0"/>
            <w:vAlign w:val="center"/>
          </w:tcPr>
          <w:p w14:paraId="46D96E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8DDD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Style w:val="10"/>
                <w:rFonts w:hint="eastAsia" w:ascii="宋体" w:hAnsi="宋体" w:eastAsia="宋体" w:cs="宋体"/>
                <w:color w:val="auto"/>
                <w:sz w:val="21"/>
                <w:szCs w:val="21"/>
                <w:highlight w:val="none"/>
                <w:lang w:bidi="ar"/>
              </w:rPr>
              <w:t>管理端五辨食养评估</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2A73501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1、支持与医院his系统对接，医院收费后生成辨体施膳报告申请单。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2、支持根据为患者中西医诊断、辨证、体质、不适症状、五运六气等信息综合提供中医饮食建议；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3、支持制作建议时，系统能根据辨证结论自动推荐日常食材、少吃、慎吃等建议；支持食材按分类进行展示，性味归经说明；食材可下钻查看食材性味归经等详细信息；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4、支持在报告推荐中医膳食配方建议，说明配方的原材料组成、制作方法、用法、来源依据等。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5、支持在群聊中可查询中医饮食建议报告，并可查询食材推荐给患者；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6、支持根据时空医学的流年运气提供药食宜原则的饮食建议，并可控制报告是否显示；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7、支持在报告中根据患者辨证结论推荐医院的特色产品，引导患者进行购买。</w:t>
            </w:r>
          </w:p>
        </w:tc>
      </w:tr>
      <w:tr w14:paraId="2E1DC3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4" w:type="dxa"/>
            <w:tcBorders>
              <w:top w:val="single" w:color="000000" w:sz="4" w:space="0"/>
              <w:bottom w:val="single" w:color="000000" w:sz="4" w:space="0"/>
              <w:right w:val="single" w:color="000000" w:sz="4" w:space="0"/>
            </w:tcBorders>
            <w:shd w:val="clear" w:color="auto" w:fill="FFFFFF"/>
            <w:noWrap w:val="0"/>
            <w:vAlign w:val="center"/>
          </w:tcPr>
          <w:p w14:paraId="108C02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DB3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五辨食养报告查询</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485093E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支持查看所有患者的五辨食养报告，支持按患者姓名、时间等条件进行筛选和查询，方便快速定位和管理报告。</w:t>
            </w:r>
          </w:p>
        </w:tc>
      </w:tr>
      <w:tr w14:paraId="2DF32F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4" w:type="dxa"/>
            <w:tcBorders>
              <w:top w:val="single" w:color="000000" w:sz="4" w:space="0"/>
              <w:bottom w:val="single" w:color="000000" w:sz="4" w:space="0"/>
              <w:right w:val="single" w:color="000000" w:sz="4" w:space="0"/>
            </w:tcBorders>
            <w:shd w:val="clear" w:color="auto" w:fill="FFFFFF"/>
            <w:noWrap w:val="0"/>
            <w:vAlign w:val="center"/>
          </w:tcPr>
          <w:p w14:paraId="65749F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EA7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机构特色产品库</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14AF277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支持维护本机构的特色产品的基本信息、适宜推荐逻辑、购买链接等信息，在辨体施膳报告中可引用。</w:t>
            </w:r>
          </w:p>
        </w:tc>
      </w:tr>
      <w:tr w14:paraId="038B4B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24" w:type="dxa"/>
            <w:tcBorders>
              <w:top w:val="single" w:color="000000" w:sz="4" w:space="0"/>
              <w:right w:val="single" w:color="000000" w:sz="4" w:space="0"/>
            </w:tcBorders>
            <w:shd w:val="clear" w:color="auto" w:fill="FFFFFF"/>
            <w:noWrap w:val="0"/>
            <w:vAlign w:val="center"/>
          </w:tcPr>
          <w:p w14:paraId="45179D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755" w:type="dxa"/>
            <w:tcBorders>
              <w:top w:val="single" w:color="000000" w:sz="4" w:space="0"/>
              <w:left w:val="single" w:color="000000" w:sz="4" w:space="0"/>
              <w:right w:val="single" w:color="000000" w:sz="4" w:space="0"/>
            </w:tcBorders>
            <w:shd w:val="clear" w:color="auto" w:fill="FFFFFF"/>
            <w:noWrap w:val="0"/>
            <w:vAlign w:val="center"/>
          </w:tcPr>
          <w:p w14:paraId="066070B0">
            <w:pPr>
              <w:widowControl/>
              <w:jc w:val="left"/>
              <w:textAlignment w:val="center"/>
              <w:rPr>
                <w:rFonts w:hint="eastAsia" w:ascii="宋体" w:hAnsi="宋体" w:eastAsia="宋体" w:cs="宋体"/>
                <w:b/>
                <w:bCs/>
                <w:color w:val="auto"/>
                <w:sz w:val="21"/>
                <w:szCs w:val="21"/>
                <w:highlight w:val="none"/>
              </w:rPr>
            </w:pPr>
            <w:r>
              <w:rPr>
                <w:rStyle w:val="10"/>
                <w:rFonts w:hint="eastAsia" w:ascii="宋体" w:hAnsi="宋体" w:eastAsia="宋体" w:cs="宋体"/>
                <w:color w:val="auto"/>
                <w:sz w:val="21"/>
                <w:szCs w:val="21"/>
                <w:highlight w:val="none"/>
                <w:lang w:bidi="ar"/>
              </w:rPr>
              <w:t>患者端中医特色评估</w:t>
            </w:r>
          </w:p>
        </w:tc>
        <w:tc>
          <w:tcPr>
            <w:tcW w:w="6036" w:type="dxa"/>
            <w:tcBorders>
              <w:top w:val="single" w:color="000000" w:sz="4" w:space="0"/>
              <w:left w:val="single" w:color="000000" w:sz="4" w:space="0"/>
            </w:tcBorders>
            <w:shd w:val="clear" w:color="auto" w:fill="FFFFFF"/>
            <w:noWrap w:val="0"/>
            <w:vAlign w:val="center"/>
          </w:tcPr>
          <w:p w14:paraId="08A178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患者可在公众号完成体质测评、运气测评等信息提交后获得辨体施膳报告以及特色产品推荐。可查询既往的特色评估报告。</w:t>
            </w:r>
          </w:p>
        </w:tc>
      </w:tr>
    </w:tbl>
    <w:p w14:paraId="16E5AD89">
      <w:pPr>
        <w:pStyle w:val="9"/>
        <w:rPr>
          <w:b/>
          <w:bCs/>
          <w:color w:val="auto"/>
          <w:highlight w:val="none"/>
        </w:rPr>
      </w:pPr>
    </w:p>
    <w:p w14:paraId="7EADD381">
      <w:pPr>
        <w:pStyle w:val="3"/>
        <w:spacing w:line="360" w:lineRule="auto"/>
        <w:rPr>
          <w:rFonts w:hint="eastAsia"/>
          <w:color w:val="auto"/>
          <w:sz w:val="28"/>
          <w:szCs w:val="28"/>
          <w:highlight w:val="none"/>
          <w:lang w:val="en-US" w:eastAsia="zh-CN"/>
        </w:rPr>
      </w:pPr>
      <w:r>
        <w:rPr>
          <w:rFonts w:hint="eastAsia"/>
          <w:color w:val="auto"/>
          <w:sz w:val="28"/>
          <w:szCs w:val="28"/>
          <w:highlight w:val="none"/>
          <w:lang w:val="en-US" w:eastAsia="zh-CN"/>
        </w:rPr>
        <w:t xml:space="preserve"> 3.5 AI应用</w:t>
      </w:r>
    </w:p>
    <w:tbl>
      <w:tblPr>
        <w:tblStyle w:val="7"/>
        <w:tblW w:w="8215" w:type="dxa"/>
        <w:tblInd w:w="9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32"/>
        <w:gridCol w:w="1747"/>
        <w:gridCol w:w="6036"/>
      </w:tblGrid>
      <w:tr w14:paraId="0B23AE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0" w:hRule="atLeast"/>
        </w:trPr>
        <w:tc>
          <w:tcPr>
            <w:tcW w:w="432" w:type="dxa"/>
            <w:tcBorders>
              <w:bottom w:val="single" w:color="000000" w:sz="4" w:space="0"/>
              <w:right w:val="single" w:color="000000" w:sz="4" w:space="0"/>
            </w:tcBorders>
            <w:shd w:val="clear" w:color="auto" w:fill="auto"/>
            <w:noWrap w:val="0"/>
            <w:vAlign w:val="center"/>
          </w:tcPr>
          <w:p w14:paraId="53F221EA">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747" w:type="dxa"/>
            <w:tcBorders>
              <w:left w:val="single" w:color="000000" w:sz="4" w:space="0"/>
              <w:bottom w:val="single" w:color="000000" w:sz="4" w:space="0"/>
              <w:right w:val="single" w:color="000000" w:sz="4" w:space="0"/>
            </w:tcBorders>
            <w:shd w:val="clear" w:color="auto" w:fill="auto"/>
            <w:noWrap w:val="0"/>
            <w:vAlign w:val="center"/>
          </w:tcPr>
          <w:p w14:paraId="183372F1">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一级功能</w:t>
            </w:r>
          </w:p>
        </w:tc>
        <w:tc>
          <w:tcPr>
            <w:tcW w:w="6036" w:type="dxa"/>
            <w:tcBorders>
              <w:left w:val="single" w:color="000000" w:sz="4" w:space="0"/>
              <w:bottom w:val="single" w:color="000000" w:sz="4" w:space="0"/>
            </w:tcBorders>
            <w:shd w:val="clear" w:color="auto" w:fill="auto"/>
            <w:noWrap w:val="0"/>
            <w:vAlign w:val="center"/>
          </w:tcPr>
          <w:p w14:paraId="6EFDC7F0">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功能描述</w:t>
            </w:r>
          </w:p>
        </w:tc>
      </w:tr>
      <w:tr w14:paraId="729BF0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7"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4989C4B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C0A5E">
            <w:pPr>
              <w:widowControl/>
              <w:jc w:val="left"/>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w:t>
            </w:r>
            <w:r>
              <w:rPr>
                <w:rFonts w:hint="eastAsia" w:ascii="宋体" w:hAnsi="宋体" w:cs="宋体"/>
                <w:color w:val="auto"/>
                <w:kern w:val="0"/>
                <w:sz w:val="20"/>
                <w:szCs w:val="20"/>
                <w:highlight w:val="none"/>
                <w:lang w:bidi="ar"/>
              </w:rPr>
              <w:t>AI智能随访</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6C37430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0"/>
                <w:szCs w:val="20"/>
                <w:highlight w:val="none"/>
                <w:lang w:bidi="ar"/>
              </w:rPr>
              <w:t>支持AI电话随访，对接语音外呼机器人，实现语音机器人自动外呼；并支持通话录音与通话记录的长期存档，并可随时调取播放和下载。通过自动化、智能化的随访方式，实现患者信息的快速录入、随访计划的自动制定，随访结果的智能分析，减少人工操作时间和成本。</w:t>
            </w:r>
          </w:p>
        </w:tc>
      </w:tr>
      <w:tr w14:paraId="4DD286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3227C2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722E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0"/>
                <w:szCs w:val="20"/>
                <w:highlight w:val="none"/>
                <w:lang w:bidi="ar"/>
              </w:rPr>
              <w:t>AI饮食点评</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77A80E4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0"/>
                <w:szCs w:val="20"/>
                <w:highlight w:val="none"/>
                <w:lang w:bidi="ar"/>
              </w:rPr>
              <w:t>支持自动识别患者饮食打卡中上传的食物图片或文字描述的饮食内容，结合患者的基础病情信息，AI自动生成饮食点评内容，对食物种类、摄入份量、烹饪方法等进行评价，并给出饮食调整建议。</w:t>
            </w:r>
          </w:p>
        </w:tc>
      </w:tr>
      <w:tr w14:paraId="4E1F85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0"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7F00AFF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19DC9">
            <w:pPr>
              <w:widowControl/>
              <w:jc w:val="left"/>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w:t>
            </w:r>
            <w:r>
              <w:rPr>
                <w:rFonts w:hint="eastAsia" w:ascii="宋体" w:hAnsi="宋体" w:cs="宋体"/>
                <w:color w:val="auto"/>
                <w:kern w:val="0"/>
                <w:sz w:val="20"/>
                <w:szCs w:val="20"/>
                <w:highlight w:val="none"/>
                <w:lang w:bidi="ar"/>
              </w:rPr>
              <w:t>AI</w:t>
            </w:r>
            <w:r>
              <w:rPr>
                <w:rFonts w:hint="eastAsia" w:ascii="宋体" w:hAnsi="宋体" w:cs="宋体"/>
                <w:color w:val="auto"/>
                <w:kern w:val="0"/>
                <w:sz w:val="20"/>
                <w:szCs w:val="20"/>
                <w:highlight w:val="none"/>
                <w:lang w:val="en-US" w:eastAsia="zh-CN" w:bidi="ar"/>
              </w:rPr>
              <w:t>咨询回复</w:t>
            </w:r>
            <w:r>
              <w:rPr>
                <w:rFonts w:hint="eastAsia" w:ascii="宋体" w:hAnsi="宋体" w:cs="宋体"/>
                <w:color w:val="auto"/>
                <w:kern w:val="0"/>
                <w:sz w:val="20"/>
                <w:szCs w:val="20"/>
                <w:highlight w:val="none"/>
                <w:lang w:bidi="ar"/>
              </w:rPr>
              <w:t>机器人</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6B62AF0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0"/>
                <w:szCs w:val="20"/>
                <w:highlight w:val="none"/>
                <w:lang w:bidi="ar"/>
              </w:rPr>
              <w:t>支持咨询群内配置AI健康问答机器人，支持设置机器人服务的时间段（非工作时间）回答患者提出的日常咨询，当用户输入问题后，机器人智能识别问题，并推荐相关问题列表，提供给患者进行快捷询问。</w:t>
            </w:r>
          </w:p>
        </w:tc>
      </w:tr>
      <w:tr w14:paraId="0FF46E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5B3F9D1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CC83C">
            <w:pPr>
              <w:widowControl/>
              <w:jc w:val="left"/>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w:t>
            </w:r>
            <w:r>
              <w:rPr>
                <w:rFonts w:hint="eastAsia" w:ascii="宋体" w:hAnsi="宋体" w:cs="宋体"/>
                <w:color w:val="auto"/>
                <w:kern w:val="0"/>
                <w:sz w:val="20"/>
                <w:szCs w:val="20"/>
                <w:highlight w:val="none"/>
                <w:lang w:bidi="ar"/>
              </w:rPr>
              <w:t>AI</w:t>
            </w:r>
            <w:r>
              <w:rPr>
                <w:rFonts w:hint="eastAsia" w:ascii="宋体" w:hAnsi="宋体" w:cs="宋体"/>
                <w:color w:val="auto"/>
                <w:kern w:val="0"/>
                <w:sz w:val="20"/>
                <w:szCs w:val="20"/>
                <w:highlight w:val="none"/>
                <w:lang w:val="en-US" w:eastAsia="zh-CN" w:bidi="ar"/>
              </w:rPr>
              <w:t>健管师</w:t>
            </w:r>
            <w:r>
              <w:rPr>
                <w:rFonts w:hint="eastAsia" w:ascii="宋体" w:hAnsi="宋体" w:cs="宋体"/>
                <w:color w:val="auto"/>
                <w:kern w:val="0"/>
                <w:sz w:val="20"/>
                <w:szCs w:val="20"/>
                <w:highlight w:val="none"/>
                <w:lang w:bidi="ar"/>
              </w:rPr>
              <w:t>助手</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20C641A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0"/>
                <w:szCs w:val="20"/>
                <w:highlight w:val="none"/>
                <w:lang w:bidi="ar"/>
              </w:rPr>
              <w:t>支持AI 自动拉取并解析当前患者在系统中的完整档案（病史、用药、过敏、既往随访记录等），结合患者档案与循证医学知识库，协助医护人员动态生成专业、合规、个性化的慢病指导建议。</w:t>
            </w:r>
          </w:p>
        </w:tc>
      </w:tr>
      <w:tr w14:paraId="06B87E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3871156F">
            <w:pPr>
              <w:widowControl/>
              <w:jc w:val="center"/>
              <w:textAlignment w:val="center"/>
              <w:rPr>
                <w:rFonts w:hint="eastAsia" w:ascii="宋体" w:hAnsi="宋体" w:cs="宋体"/>
                <w:color w:val="auto"/>
                <w:kern w:val="0"/>
                <w:sz w:val="20"/>
                <w:szCs w:val="20"/>
                <w:highlight w:val="none"/>
                <w:lang w:bidi="ar"/>
              </w:rPr>
            </w:pPr>
            <w:bookmarkStart w:id="1" w:name="OLE_LINK2" w:colFirst="2" w:colLast="66"/>
            <w:bookmarkStart w:id="2" w:name="OLE_LINK3" w:colFirst="2" w:colLast="66"/>
            <w:bookmarkStart w:id="3" w:name="_Hlk204023826"/>
            <w:r>
              <w:rPr>
                <w:rFonts w:hint="eastAsia" w:ascii="宋体" w:hAnsi="宋体" w:cs="宋体"/>
                <w:color w:val="auto"/>
                <w:kern w:val="0"/>
                <w:sz w:val="20"/>
                <w:szCs w:val="20"/>
                <w:highlight w:val="none"/>
                <w:lang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28D7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4"/>
                <w:highlight w:val="none"/>
                <w:lang w:bidi="ar"/>
              </w:rPr>
              <w:t>▲</w:t>
            </w:r>
            <w:r>
              <w:rPr>
                <w:rFonts w:hint="eastAsia" w:ascii="宋体" w:hAnsi="宋体" w:cs="宋体"/>
                <w:color w:val="auto"/>
                <w:kern w:val="0"/>
                <w:sz w:val="20"/>
                <w:szCs w:val="20"/>
                <w:highlight w:val="none"/>
                <w:lang w:val="en-US" w:eastAsia="zh-CN" w:bidi="ar"/>
              </w:rPr>
              <w:t>患者360</w:t>
            </w:r>
            <w:r>
              <w:rPr>
                <w:rFonts w:hint="eastAsia" w:ascii="宋体" w:hAnsi="宋体" w:cs="宋体"/>
                <w:color w:val="auto"/>
                <w:kern w:val="0"/>
                <w:sz w:val="20"/>
                <w:szCs w:val="20"/>
                <w:highlight w:val="none"/>
                <w:lang w:bidi="ar"/>
              </w:rPr>
              <w:t>智能画像</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6D3780A8">
            <w:pPr>
              <w:widowControl/>
              <w:jc w:val="left"/>
              <w:textAlignment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基于多源医疗数据（如电子病历、检验报告、穿戴设备等），</w:t>
            </w:r>
            <w:r>
              <w:rPr>
                <w:rFonts w:hint="eastAsia" w:ascii="宋体" w:hAnsi="宋体" w:cs="宋体"/>
                <w:color w:val="auto"/>
                <w:kern w:val="0"/>
                <w:sz w:val="20"/>
                <w:szCs w:val="20"/>
                <w:highlight w:val="none"/>
                <w:lang w:bidi="ar"/>
              </w:rPr>
              <w:t>智能</w:t>
            </w:r>
            <w:r>
              <w:rPr>
                <w:rFonts w:ascii="宋体" w:hAnsi="宋体" w:cs="宋体"/>
                <w:color w:val="auto"/>
                <w:kern w:val="0"/>
                <w:sz w:val="20"/>
                <w:szCs w:val="20"/>
                <w:highlight w:val="none"/>
                <w:lang w:bidi="ar"/>
              </w:rPr>
              <w:t>生成涵盖诊断、体质特征、症状表现、指标异常等多维度的患者全景画像，支持动态更新与个性化健康评估，辅助精准医疗决策。</w:t>
            </w:r>
          </w:p>
        </w:tc>
      </w:tr>
      <w:tr w14:paraId="6A9A29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419681E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F91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OCR识别</w:t>
            </w:r>
            <w:r>
              <w:rPr>
                <w:rFonts w:hint="eastAsia" w:ascii="宋体" w:hAnsi="宋体" w:cs="宋体"/>
                <w:color w:val="auto"/>
                <w:kern w:val="0"/>
                <w:sz w:val="20"/>
                <w:szCs w:val="20"/>
                <w:highlight w:val="none"/>
                <w:lang w:val="en-US" w:eastAsia="zh-CN" w:bidi="ar"/>
              </w:rPr>
              <w:t>与AI快速建档</w:t>
            </w:r>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4063A99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基于OCR技术，支持门诊病历、住院病历、电子处方、化验单、影像报告、病理报告及体检报告等多类型医疗文档的高精度识别，支持结构化输出与人工校对，确保医疗数据标准化入库。</w:t>
            </w:r>
          </w:p>
        </w:tc>
      </w:tr>
      <w:tr w14:paraId="4F4032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32" w:type="dxa"/>
            <w:tcBorders>
              <w:top w:val="single" w:color="000000" w:sz="4" w:space="0"/>
              <w:bottom w:val="single" w:color="000000" w:sz="4" w:space="0"/>
              <w:right w:val="single" w:color="000000" w:sz="4" w:space="0"/>
            </w:tcBorders>
            <w:shd w:val="clear" w:color="auto" w:fill="FFFFFF"/>
            <w:noWrap w:val="0"/>
            <w:vAlign w:val="center"/>
          </w:tcPr>
          <w:p w14:paraId="51DBCF0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F7D5">
            <w:pPr>
              <w:widowControl/>
              <w:jc w:val="left"/>
              <w:textAlignment w:val="center"/>
              <w:rPr>
                <w:rFonts w:hint="eastAsia" w:ascii="宋体" w:hAnsi="宋体" w:cs="宋体"/>
                <w:color w:val="auto"/>
                <w:kern w:val="0"/>
                <w:sz w:val="20"/>
                <w:szCs w:val="20"/>
                <w:highlight w:val="none"/>
                <w:lang w:bidi="ar"/>
              </w:rPr>
            </w:pPr>
            <w:bookmarkStart w:id="4" w:name="OLE_LINK4"/>
            <w:r>
              <w:rPr>
                <w:rFonts w:hint="eastAsia" w:ascii="宋体" w:hAnsi="宋体" w:cs="宋体"/>
                <w:color w:val="auto"/>
                <w:kern w:val="0"/>
                <w:sz w:val="20"/>
                <w:szCs w:val="20"/>
                <w:highlight w:val="none"/>
                <w:lang w:bidi="ar"/>
              </w:rPr>
              <w:t>AI风险筛查与智能评估</w:t>
            </w:r>
            <w:bookmarkEnd w:id="4"/>
          </w:p>
        </w:tc>
        <w:tc>
          <w:tcPr>
            <w:tcW w:w="6036" w:type="dxa"/>
            <w:tcBorders>
              <w:top w:val="single" w:color="000000" w:sz="4" w:space="0"/>
              <w:left w:val="single" w:color="000000" w:sz="4" w:space="0"/>
              <w:bottom w:val="single" w:color="000000" w:sz="4" w:space="0"/>
            </w:tcBorders>
            <w:shd w:val="clear" w:color="auto" w:fill="FFFFFF"/>
            <w:noWrap w:val="0"/>
            <w:vAlign w:val="center"/>
          </w:tcPr>
          <w:p w14:paraId="75A0D891">
            <w:pPr>
              <w:widowControl/>
              <w:jc w:val="left"/>
              <w:textAlignment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根据患者健康档案信息，调用系统参数和评估模型对管理对象目前健康状态进行健康风险</w:t>
            </w:r>
            <w:r>
              <w:rPr>
                <w:rFonts w:hint="eastAsia" w:ascii="宋体" w:hAnsi="宋体" w:cs="宋体"/>
                <w:color w:val="auto"/>
                <w:kern w:val="0"/>
                <w:sz w:val="20"/>
                <w:szCs w:val="20"/>
                <w:highlight w:val="none"/>
                <w:lang w:bidi="ar"/>
              </w:rPr>
              <w:t>筛查和</w:t>
            </w:r>
            <w:r>
              <w:rPr>
                <w:rFonts w:ascii="宋体" w:hAnsi="宋体" w:cs="宋体"/>
                <w:color w:val="auto"/>
                <w:kern w:val="0"/>
                <w:sz w:val="20"/>
                <w:szCs w:val="20"/>
                <w:highlight w:val="none"/>
                <w:lang w:bidi="ar"/>
              </w:rPr>
              <w:t>评估，对未来的常见慢性病患病风险进行科学的评估，形成健康风险评估报告</w:t>
            </w:r>
            <w:r>
              <w:rPr>
                <w:rFonts w:hint="eastAsia" w:ascii="宋体" w:hAnsi="宋体" w:cs="宋体"/>
                <w:color w:val="auto"/>
                <w:kern w:val="0"/>
                <w:sz w:val="20"/>
                <w:szCs w:val="20"/>
                <w:highlight w:val="none"/>
                <w:lang w:bidi="ar"/>
              </w:rPr>
              <w:t>。</w:t>
            </w:r>
          </w:p>
          <w:p w14:paraId="4BB20B53">
            <w:pPr>
              <w:widowControl/>
              <w:jc w:val="left"/>
              <w:textAlignment w:val="center"/>
              <w:rPr>
                <w:rFonts w:hint="eastAsia" w:ascii="宋体" w:hAnsi="宋体" w:cs="宋体"/>
                <w:color w:val="auto"/>
                <w:kern w:val="0"/>
                <w:sz w:val="20"/>
                <w:szCs w:val="20"/>
                <w:highlight w:val="none"/>
                <w:lang w:bidi="ar"/>
              </w:rPr>
            </w:pPr>
            <w:r>
              <w:rPr>
                <w:rFonts w:hint="default" w:ascii="宋体" w:hAnsi="宋体" w:cs="宋体"/>
                <w:color w:val="auto"/>
                <w:kern w:val="0"/>
                <w:sz w:val="20"/>
                <w:szCs w:val="20"/>
                <w:highlight w:val="none"/>
                <w:lang w:val="en-US" w:eastAsia="zh-CN" w:bidi="ar"/>
              </w:rPr>
              <w:t>持续分析历次病历，跟踪慢性病指标变化趋势（如肿瘤患者肿瘤标志物、糖尿病患者血糖波动 ），预判病情进展风险，生成阶段性病情评估报告。</w:t>
            </w:r>
          </w:p>
        </w:tc>
      </w:tr>
      <w:tr w14:paraId="4416D2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32" w:type="dxa"/>
            <w:tcBorders>
              <w:top w:val="single" w:color="000000" w:sz="4" w:space="0"/>
              <w:right w:val="single" w:color="000000" w:sz="4" w:space="0"/>
            </w:tcBorders>
            <w:shd w:val="clear" w:color="auto" w:fill="FFFFFF"/>
            <w:noWrap w:val="0"/>
            <w:vAlign w:val="center"/>
          </w:tcPr>
          <w:p w14:paraId="4FE65A87">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8</w:t>
            </w:r>
          </w:p>
        </w:tc>
        <w:tc>
          <w:tcPr>
            <w:tcW w:w="1747" w:type="dxa"/>
            <w:tcBorders>
              <w:top w:val="single" w:color="000000" w:sz="4" w:space="0"/>
              <w:left w:val="single" w:color="000000" w:sz="4" w:space="0"/>
              <w:right w:val="single" w:color="000000" w:sz="4" w:space="0"/>
            </w:tcBorders>
            <w:shd w:val="clear" w:color="auto" w:fill="FFFFFF"/>
            <w:noWrap w:val="0"/>
            <w:vAlign w:val="center"/>
          </w:tcPr>
          <w:p w14:paraId="0ACEF42E">
            <w:pPr>
              <w:widowControl/>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AI病历解读</w:t>
            </w:r>
          </w:p>
        </w:tc>
        <w:tc>
          <w:tcPr>
            <w:tcW w:w="6036" w:type="dxa"/>
            <w:tcBorders>
              <w:top w:val="single" w:color="000000" w:sz="4" w:space="0"/>
              <w:left w:val="single" w:color="000000" w:sz="4" w:space="0"/>
            </w:tcBorders>
            <w:shd w:val="clear" w:color="auto" w:fill="FFFFFF"/>
            <w:noWrap w:val="0"/>
            <w:vAlign w:val="center"/>
          </w:tcPr>
          <w:p w14:paraId="7672B16F">
            <w:pPr>
              <w:widowControl/>
              <w:jc w:val="left"/>
              <w:textAlignment w:val="center"/>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通过AI技术，对患者门诊、住院病历解读分析，根据病历内容，如出院记录，生成患者随访计划、患者提醒等内容。</w:t>
            </w:r>
          </w:p>
          <w:p w14:paraId="5FDB9B17">
            <w:pPr>
              <w:widowControl/>
              <w:jc w:val="left"/>
              <w:textAlignment w:val="center"/>
              <w:rPr>
                <w:rFonts w:hint="default" w:ascii="宋体" w:hAnsi="宋体" w:cs="宋体"/>
                <w:color w:val="auto"/>
                <w:kern w:val="0"/>
                <w:sz w:val="20"/>
                <w:szCs w:val="20"/>
                <w:highlight w:val="none"/>
                <w:lang w:val="en-US" w:eastAsia="zh-CN" w:bidi="ar"/>
              </w:rPr>
            </w:pPr>
            <w:r>
              <w:rPr>
                <w:rFonts w:hint="default" w:ascii="宋体" w:hAnsi="宋体" w:cs="宋体"/>
                <w:color w:val="auto"/>
                <w:kern w:val="0"/>
                <w:sz w:val="20"/>
                <w:szCs w:val="20"/>
                <w:highlight w:val="none"/>
                <w:lang w:val="en-US" w:eastAsia="zh-CN" w:bidi="ar"/>
              </w:rPr>
              <w:t>健康知识关联：提取病历核心信息（疾病诊断、治疗阶段 ），智能关联匹配患者可理解的健康科普内容（如康复锻炼指导、饮食禁忌 ），推送定制化健康教育素材。</w:t>
            </w:r>
          </w:p>
        </w:tc>
      </w:tr>
      <w:bookmarkEnd w:id="1"/>
      <w:bookmarkEnd w:id="2"/>
      <w:bookmarkEnd w:id="3"/>
    </w:tbl>
    <w:p w14:paraId="47BA624C">
      <w:pPr>
        <w:pStyle w:val="6"/>
        <w:rPr>
          <w:rFonts w:hint="default"/>
          <w:color w:val="auto"/>
          <w:highlight w:val="none"/>
          <w:lang w:val="en-US" w:eastAsia="zh-CN"/>
        </w:rPr>
      </w:pPr>
      <w:r>
        <w:rPr>
          <w:rFonts w:hint="eastAsia"/>
          <w:color w:val="auto"/>
          <w:highlight w:val="none"/>
          <w:lang w:val="en-US" w:eastAsia="zh-CN"/>
        </w:rPr>
        <w:t>各功能模块可根据其业务需求，分布到各自的业务板块下，提升操作便利性。</w:t>
      </w:r>
    </w:p>
    <w:p w14:paraId="75B6F83E">
      <w:pPr>
        <w:pStyle w:val="3"/>
        <w:spacing w:line="360" w:lineRule="auto"/>
        <w:rPr>
          <w:rFonts w:hint="eastAsia"/>
          <w:color w:val="auto"/>
          <w:sz w:val="28"/>
          <w:szCs w:val="28"/>
          <w:highlight w:val="none"/>
          <w:lang w:val="en-US" w:eastAsia="zh-CN"/>
        </w:rPr>
      </w:pPr>
      <w:bookmarkStart w:id="5" w:name="_Toc21223"/>
      <w:bookmarkStart w:id="6" w:name="_Toc10146"/>
      <w:bookmarkStart w:id="7" w:name="_Toc764849250"/>
      <w:bookmarkStart w:id="8" w:name="_Toc2142871556"/>
      <w:bookmarkStart w:id="9" w:name="_Toc30192"/>
      <w:bookmarkStart w:id="10" w:name="_Toc24469"/>
      <w:r>
        <w:rPr>
          <w:rFonts w:hint="eastAsia"/>
          <w:color w:val="auto"/>
          <w:sz w:val="28"/>
          <w:szCs w:val="28"/>
          <w:highlight w:val="none"/>
          <w:lang w:val="en-US" w:eastAsia="zh-CN"/>
        </w:rPr>
        <w:t>3.6医护端APP</w:t>
      </w:r>
      <w:bookmarkEnd w:id="5"/>
      <w:bookmarkEnd w:id="6"/>
      <w:bookmarkEnd w:id="7"/>
      <w:bookmarkEnd w:id="8"/>
      <w:bookmarkEnd w:id="9"/>
      <w:bookmarkEnd w:id="10"/>
      <w:r>
        <w:rPr>
          <w:rFonts w:hint="eastAsia"/>
          <w:color w:val="auto"/>
          <w:sz w:val="28"/>
          <w:szCs w:val="28"/>
          <w:highlight w:val="none"/>
          <w:lang w:val="en-US" w:eastAsia="zh-CN"/>
        </w:rPr>
        <w:t>或小程序</w:t>
      </w:r>
    </w:p>
    <w:tbl>
      <w:tblPr>
        <w:tblStyle w:val="7"/>
        <w:tblW w:w="8322" w:type="dxa"/>
        <w:tblInd w:w="0" w:type="dxa"/>
        <w:tblLayout w:type="fixed"/>
        <w:tblCellMar>
          <w:top w:w="0" w:type="dxa"/>
          <w:left w:w="108" w:type="dxa"/>
          <w:bottom w:w="0" w:type="dxa"/>
          <w:right w:w="108" w:type="dxa"/>
        </w:tblCellMar>
      </w:tblPr>
      <w:tblGrid>
        <w:gridCol w:w="530"/>
        <w:gridCol w:w="1140"/>
        <w:gridCol w:w="1582"/>
        <w:gridCol w:w="5070"/>
      </w:tblGrid>
      <w:tr w14:paraId="36F7FCAA">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956F">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0FED">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一级功能</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F10">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二级功能</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22BC">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功能描述</w:t>
            </w:r>
          </w:p>
        </w:tc>
      </w:tr>
      <w:tr w14:paraId="5042055E">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ED05">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7942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工作台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B9E3">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工作台</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6863">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各功能入口、任务提醒、管理患者数据统计等；</w:t>
            </w:r>
          </w:p>
        </w:tc>
      </w:tr>
      <w:tr w14:paraId="6D4602CC">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B8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EC8EA">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1239">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发送消息</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F3B">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可向我管理的患者批量推送公众号消息；</w:t>
            </w:r>
          </w:p>
        </w:tc>
      </w:tr>
      <w:tr w14:paraId="0975A28F">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B26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A75B">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903D">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健康宣教</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688B">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提供丰富的专病宣教库，通过分组管理向患者发送宣教内容</w:t>
            </w:r>
          </w:p>
        </w:tc>
      </w:tr>
      <w:tr w14:paraId="7665B94D">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B04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3E02">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559">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随访管理</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B7C2">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设置专病随访问卷，定时发送患者进行填写，医护可实时查看随访情况</w:t>
            </w:r>
          </w:p>
        </w:tc>
      </w:tr>
      <w:tr w14:paraId="444F7AE5">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8C6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57A9">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1EA0">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数据统计</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BB0">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包括患者人数、服务包订单，任务完成量等数据统计；</w:t>
            </w:r>
          </w:p>
        </w:tc>
      </w:tr>
      <w:tr w14:paraId="20C75066">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887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118E">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46A7">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分享名片</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29C9">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通过扫描二维码、好友推荐等方式添加医护好友、患者粉丝；</w:t>
            </w:r>
          </w:p>
        </w:tc>
      </w:tr>
      <w:tr w14:paraId="35DF187E">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521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6039">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F898">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服务包任务</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A4E">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接收服务包任务提醒，可处理自己服务包任务；</w:t>
            </w:r>
          </w:p>
        </w:tc>
      </w:tr>
      <w:tr w14:paraId="234F49B0">
        <w:tblPrEx>
          <w:tblCellMar>
            <w:top w:w="0" w:type="dxa"/>
            <w:left w:w="108" w:type="dxa"/>
            <w:bottom w:w="0" w:type="dxa"/>
            <w:right w:w="108" w:type="dxa"/>
          </w:tblCellMar>
        </w:tblPrEx>
        <w:trPr>
          <w:trHeight w:val="60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715D">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F87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消息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102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服务包咨询沟通</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9964">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患者加入管理后，与团队主管管理人员和辅助管理人员共同创建多人的患者专属群。</w:t>
            </w:r>
          </w:p>
          <w:p w14:paraId="36F0FE43">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患者家属加入群聊，加入群聊后患者和家属均可以查看患者本人的档案、量表、测评结果、指导方案、管理计划、随访、饮食、宣教、病历、指标数据、报告等所有与病情管理的数据；同时可接收患者任务为患者完成管理人员以及数据上传。</w:t>
            </w:r>
          </w:p>
          <w:p w14:paraId="074D8F69">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支持患者通过语音、文字、图片方式与管理团队进行沟通。</w:t>
            </w:r>
          </w:p>
          <w:p w14:paraId="583A6749">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支持推送量表、宣教、随访、服务评价等实时通讯消息；同时在管理过程中的所有管理资料均可在群里进行通知以及查询。</w:t>
            </w:r>
          </w:p>
          <w:p w14:paraId="61DE7D4C">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医护人员可以对患者门诊、住院的病历、用药、检验检查报告等医疗信息进行查阅，患者也可手动上传相关记录；</w:t>
            </w:r>
          </w:p>
          <w:p w14:paraId="259A3ADF">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支持群设置免打扰、标记置顶、批量已读、消息撤回等；</w:t>
            </w:r>
          </w:p>
          <w:p w14:paraId="1A5BC783">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支持一次输出内容后全局搜索全部群聊中记录内容，并支持内容的查看上下文，在群聊中可按图片、文件等文件类型快速查找历史聊天记录；</w:t>
            </w:r>
          </w:p>
          <w:p w14:paraId="34503FEA">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支持可在群聊中对患者的饮食情况快速进行点评，并反馈点击结果在群聊里。</w:t>
            </w:r>
          </w:p>
          <w:p w14:paraId="44997D44">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支持在咨询过程中快速查询食材/药膳等的性味归经、制作方法等信息进行推荐；</w:t>
            </w:r>
          </w:p>
          <w:p w14:paraId="07356504">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支持在群聊处可查询随访情况并执行待随访的事项；</w:t>
            </w:r>
          </w:p>
          <w:p w14:paraId="4F76EB38">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支持在群里快速预约患者服务包权益中的治疗权益项目；</w:t>
            </w:r>
          </w:p>
          <w:p w14:paraId="0FCA04F2">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支持选择群聊记录快速设为待办事项、关联至管理日志等；</w:t>
            </w:r>
          </w:p>
          <w:p w14:paraId="43EE3510">
            <w:pPr>
              <w:widowControl/>
              <w:numPr>
                <w:ilvl w:val="0"/>
                <w:numId w:val="7"/>
              </w:numPr>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支持在群里设置分组管理；</w:t>
            </w:r>
          </w:p>
        </w:tc>
      </w:tr>
      <w:tr w14:paraId="0DAB175B">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6C23">
            <w:pPr>
              <w:widowControl/>
              <w:spacing w:line="360" w:lineRule="auto"/>
              <w:jc w:val="center"/>
              <w:textAlignment w:val="center"/>
              <w:rPr>
                <w:rFonts w:hint="eastAsia" w:ascii="宋体" w:hAnsi="宋体" w:eastAsia="宋体" w:cs="宋体"/>
                <w:color w:val="auto"/>
                <w:kern w:val="0"/>
                <w:sz w:val="21"/>
                <w:szCs w:val="21"/>
                <w:highlight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DF6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患者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80D5">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患者列表</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FB1">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可为查询服务包在管患者以及图文咨询的全部患者；</w:t>
            </w:r>
          </w:p>
          <w:p w14:paraId="64D1849B">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支持查询机构会员；</w:t>
            </w:r>
          </w:p>
          <w:p w14:paraId="70C8E8F5">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支持按服务包、医生团队、分组、姓名等多种维度查询患者；</w:t>
            </w:r>
          </w:p>
          <w:p w14:paraId="4F046698">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支持将未加入管理的患者手动加入服务管理；</w:t>
            </w:r>
          </w:p>
          <w:p w14:paraId="63C84567">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支持指标异常等标签的提醒显示；</w:t>
            </w:r>
          </w:p>
          <w:p w14:paraId="73E58E2F">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可手动创建患者；</w:t>
            </w:r>
          </w:p>
          <w:p w14:paraId="78393D8E">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可对患者进行分组管理；可自定义分组；</w:t>
            </w:r>
          </w:p>
        </w:tc>
      </w:tr>
      <w:tr w14:paraId="29FCDA17">
        <w:tblPrEx>
          <w:tblCellMar>
            <w:top w:w="0" w:type="dxa"/>
            <w:left w:w="108" w:type="dxa"/>
            <w:bottom w:w="0" w:type="dxa"/>
            <w:right w:w="108" w:type="dxa"/>
          </w:tblCellMar>
        </w:tblPrEx>
        <w:trPr>
          <w:trHeight w:val="96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F7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C870">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8F7">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患者主页</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E39">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从患者可进入患者主页；在患者主页可查看患者的基本信息、服务包信息、管理历程、用药情况、指标情况、就诊记录、随访小结等内容。</w:t>
            </w:r>
          </w:p>
        </w:tc>
      </w:tr>
      <w:tr w14:paraId="3E87D15C">
        <w:tblPrEx>
          <w:tblCellMar>
            <w:top w:w="0" w:type="dxa"/>
            <w:left w:w="108" w:type="dxa"/>
            <w:bottom w:w="0" w:type="dxa"/>
            <w:right w:w="108" w:type="dxa"/>
          </w:tblCellMar>
        </w:tblPrEx>
        <w:trPr>
          <w:trHeight w:val="12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1AA5">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3DB7">
            <w:pPr>
              <w:spacing w:line="360" w:lineRule="auto"/>
              <w:jc w:val="center"/>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C10">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更多功能</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D03">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从主页的功能入口可查询患者的全部个人资料，包括执行计划、任务记录、管理日志、患者任务、专病档案、健康档案、指标监测、测评记录、病历处方、体检报告、饮食记录、随访记录、用药计划、用药记录、问诊单记录等信息；</w:t>
            </w:r>
          </w:p>
        </w:tc>
      </w:tr>
      <w:tr w14:paraId="430A32D0">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086">
            <w:pPr>
              <w:widowControl/>
              <w:spacing w:line="360" w:lineRule="auto"/>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9D1BA">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个人档案</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63A6">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资料</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E2F8">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可设置头像、姓名、职称、个人简介、个人擅长等资料；</w:t>
            </w:r>
          </w:p>
        </w:tc>
      </w:tr>
      <w:tr w14:paraId="4AFDB65C">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9F1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382B">
            <w:pPr>
              <w:spacing w:line="360" w:lineRule="auto"/>
              <w:jc w:val="left"/>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212E">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名片</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6560">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可提供医生二维码，让患者扫描关注；</w:t>
            </w:r>
          </w:p>
        </w:tc>
      </w:tr>
      <w:tr w14:paraId="158F22B6">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73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DB0D">
            <w:pPr>
              <w:spacing w:line="360" w:lineRule="auto"/>
              <w:jc w:val="left"/>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733F">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订单</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F0F">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支持查看个人通过医生主页购买的商品订单记录。</w:t>
            </w:r>
          </w:p>
        </w:tc>
      </w:tr>
      <w:tr w14:paraId="3DB10368">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A7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DA20">
            <w:pPr>
              <w:spacing w:line="360" w:lineRule="auto"/>
              <w:jc w:val="left"/>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CC42">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主页设置</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EACA">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可设置医生主页显示内容，</w:t>
            </w:r>
            <w:r>
              <w:rPr>
                <w:rFonts w:hint="eastAsia" w:ascii="宋体" w:hAnsi="宋体" w:cs="宋体"/>
                <w:color w:val="auto"/>
                <w:kern w:val="0"/>
                <w:sz w:val="21"/>
                <w:szCs w:val="21"/>
                <w:highlight w:val="none"/>
                <w:lang w:val="en-US" w:eastAsia="zh-CN"/>
              </w:rPr>
              <w:t>包括医生介绍内容、团队服务等；</w:t>
            </w:r>
          </w:p>
        </w:tc>
      </w:tr>
      <w:tr w14:paraId="1BDF875F">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EB8">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0DFDB">
            <w:pPr>
              <w:spacing w:line="360" w:lineRule="auto"/>
              <w:jc w:val="left"/>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15D5">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快捷回复管理</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2C0D">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可设置跟患者聊天的自己的快捷回复内容；</w:t>
            </w:r>
          </w:p>
        </w:tc>
      </w:tr>
      <w:tr w14:paraId="43BE9833">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58A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E63B">
            <w:pPr>
              <w:spacing w:line="360" w:lineRule="auto"/>
              <w:jc w:val="left"/>
              <w:rPr>
                <w:rFonts w:hint="eastAsia" w:ascii="宋体" w:hAnsi="宋体" w:eastAsia="宋体" w:cs="宋体"/>
                <w:color w:val="auto"/>
                <w:sz w:val="21"/>
                <w:szCs w:val="21"/>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DA0B">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系统设置</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7340">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包括密码管理、消息通知开关、短信开关、系统新版本检测等；</w:t>
            </w:r>
          </w:p>
        </w:tc>
      </w:tr>
    </w:tbl>
    <w:p w14:paraId="7B734111">
      <w:pPr>
        <w:pStyle w:val="3"/>
        <w:spacing w:line="360" w:lineRule="auto"/>
        <w:rPr>
          <w:rFonts w:hint="default"/>
          <w:color w:val="auto"/>
          <w:sz w:val="28"/>
          <w:szCs w:val="28"/>
          <w:highlight w:val="none"/>
          <w:lang w:val="en-US" w:eastAsia="zh-CN"/>
        </w:rPr>
      </w:pPr>
      <w:bookmarkStart w:id="11" w:name="_Toc4236"/>
      <w:bookmarkStart w:id="12" w:name="_Toc1941481502"/>
      <w:bookmarkStart w:id="13" w:name="_Toc21196"/>
      <w:bookmarkStart w:id="14" w:name="_Toc496"/>
      <w:bookmarkStart w:id="15" w:name="_Toc11824"/>
      <w:bookmarkStart w:id="16" w:name="_Toc2131717455"/>
      <w:r>
        <w:rPr>
          <w:rFonts w:hint="eastAsia"/>
          <w:color w:val="auto"/>
          <w:sz w:val="28"/>
          <w:szCs w:val="28"/>
          <w:highlight w:val="none"/>
          <w:lang w:val="en-US" w:eastAsia="zh-CN"/>
        </w:rPr>
        <w:t>3.7患者端公众号</w:t>
      </w:r>
      <w:bookmarkEnd w:id="11"/>
      <w:bookmarkEnd w:id="12"/>
      <w:bookmarkEnd w:id="13"/>
      <w:bookmarkEnd w:id="14"/>
      <w:bookmarkEnd w:id="15"/>
      <w:bookmarkEnd w:id="16"/>
      <w:r>
        <w:rPr>
          <w:rFonts w:hint="eastAsia"/>
          <w:color w:val="auto"/>
          <w:sz w:val="28"/>
          <w:szCs w:val="28"/>
          <w:highlight w:val="none"/>
          <w:lang w:val="en-US" w:eastAsia="zh-CN"/>
        </w:rPr>
        <w:t>或小程序</w:t>
      </w:r>
    </w:p>
    <w:tbl>
      <w:tblPr>
        <w:tblStyle w:val="7"/>
        <w:tblW w:w="8322" w:type="dxa"/>
        <w:tblInd w:w="0" w:type="dxa"/>
        <w:tblLayout w:type="fixed"/>
        <w:tblCellMar>
          <w:top w:w="0" w:type="dxa"/>
          <w:left w:w="108" w:type="dxa"/>
          <w:bottom w:w="0" w:type="dxa"/>
          <w:right w:w="108" w:type="dxa"/>
        </w:tblCellMar>
      </w:tblPr>
      <w:tblGrid>
        <w:gridCol w:w="530"/>
        <w:gridCol w:w="1140"/>
        <w:gridCol w:w="1590"/>
        <w:gridCol w:w="5062"/>
      </w:tblGrid>
      <w:tr w14:paraId="10CDB1D0">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344E">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5025">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一级功能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EEAD">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二级功能</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4812">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功能描述</w:t>
            </w:r>
          </w:p>
        </w:tc>
      </w:tr>
      <w:tr w14:paraId="6BB0BA1E">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right w:val="single" w:color="000000" w:sz="4" w:space="0"/>
            </w:tcBorders>
            <w:shd w:val="clear" w:color="auto" w:fill="auto"/>
            <w:vAlign w:val="center"/>
          </w:tcPr>
          <w:p w14:paraId="730D1C3B">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14:paraId="11FC147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健康在线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109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找团队</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D493">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患者可通过扫描二维码进入医生主页或团队主页，了解医生团队服务，并可购买团队服务。支持患者通过文字、图片方式向医生团队发起在线咨询；</w:t>
            </w:r>
          </w:p>
        </w:tc>
      </w:tr>
      <w:tr w14:paraId="6E4D4E08">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right w:val="single" w:color="000000" w:sz="4" w:space="0"/>
            </w:tcBorders>
            <w:shd w:val="clear" w:color="auto" w:fill="auto"/>
            <w:vAlign w:val="center"/>
          </w:tcPr>
          <w:p w14:paraId="6C15B0F4">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p>
        </w:tc>
        <w:tc>
          <w:tcPr>
            <w:tcW w:w="1140" w:type="dxa"/>
            <w:vMerge w:val="continue"/>
            <w:tcBorders>
              <w:left w:val="single" w:color="000000" w:sz="4" w:space="0"/>
              <w:right w:val="single" w:color="000000" w:sz="4" w:space="0"/>
            </w:tcBorders>
            <w:shd w:val="clear" w:color="auto" w:fill="auto"/>
            <w:vAlign w:val="center"/>
          </w:tcPr>
          <w:p w14:paraId="78E20958">
            <w:pPr>
              <w:widowControl/>
              <w:spacing w:line="360" w:lineRule="auto"/>
              <w:jc w:val="center"/>
              <w:textAlignment w:val="center"/>
              <w:rPr>
                <w:rFonts w:hint="eastAsia" w:ascii="宋体" w:hAnsi="宋体" w:eastAsia="宋体" w:cs="宋体"/>
                <w:color w:val="auto"/>
                <w:kern w:val="0"/>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106">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购买支付</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1850">
            <w:pPr>
              <w:widowControl/>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多渠道支持，对接医院的支付平台或微信、支付宝支付，患者在购买服务包时调起支付平台，完成在线支付。</w:t>
            </w:r>
          </w:p>
        </w:tc>
      </w:tr>
      <w:tr w14:paraId="7D91C001">
        <w:tblPrEx>
          <w:tblCellMar>
            <w:top w:w="0" w:type="dxa"/>
            <w:left w:w="108" w:type="dxa"/>
            <w:bottom w:w="0" w:type="dxa"/>
            <w:right w:w="108" w:type="dxa"/>
          </w:tblCellMar>
        </w:tblPrEx>
        <w:trPr>
          <w:trHeight w:val="323" w:hRule="atLeast"/>
        </w:trPr>
        <w:tc>
          <w:tcPr>
            <w:tcW w:w="530" w:type="dxa"/>
            <w:tcBorders>
              <w:left w:val="single" w:color="000000" w:sz="4" w:space="0"/>
              <w:bottom w:val="single" w:color="000000" w:sz="4" w:space="0"/>
              <w:right w:val="single" w:color="000000" w:sz="4" w:space="0"/>
            </w:tcBorders>
            <w:shd w:val="clear" w:color="auto" w:fill="auto"/>
            <w:vAlign w:val="center"/>
          </w:tcPr>
          <w:p w14:paraId="69FD57C2">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14:paraId="73498AB9">
            <w:pPr>
              <w:widowControl/>
              <w:spacing w:line="360" w:lineRule="auto"/>
              <w:jc w:val="center"/>
              <w:textAlignment w:val="center"/>
              <w:rPr>
                <w:rFonts w:hint="eastAsia" w:ascii="宋体" w:hAnsi="宋体" w:eastAsia="宋体" w:cs="宋体"/>
                <w:color w:val="auto"/>
                <w:kern w:val="0"/>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B415">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我的群聊</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252">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支持医生和医生团队的即时消息查看，支持语音、文字、图文等信息发送；可@群成员。</w:t>
            </w:r>
          </w:p>
        </w:tc>
      </w:tr>
      <w:tr w14:paraId="35B000FE">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FF61">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4D2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健康服务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4BC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管理计划</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F25C">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支持医生设置的管理方案在患者端查看自己的管理计划内容并完成任务，上传相关数据等。</w:t>
            </w:r>
          </w:p>
        </w:tc>
      </w:tr>
      <w:tr w14:paraId="48C81A03">
        <w:tblPrEx>
          <w:tblCellMar>
            <w:top w:w="0" w:type="dxa"/>
            <w:left w:w="108" w:type="dxa"/>
            <w:bottom w:w="0" w:type="dxa"/>
            <w:right w:w="108" w:type="dxa"/>
          </w:tblCellMar>
        </w:tblPrEx>
        <w:trPr>
          <w:trHeight w:val="67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F86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160A">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99A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自我监测</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FE95">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医护管理团队为患者设置日常监测指标，患者可记录并上传指标；</w:t>
            </w:r>
          </w:p>
        </w:tc>
      </w:tr>
      <w:tr w14:paraId="77ECCED6">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48A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0C8D">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2E7">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饮食管理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9CE">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可查看营养师推送的餐单、饮食指导建议；有打卡计划的患者可上传打卡记录，打卡后可查看营养师的点评内容。</w:t>
            </w:r>
          </w:p>
        </w:tc>
      </w:tr>
      <w:tr w14:paraId="3098323A">
        <w:tblPrEx>
          <w:tblCellMar>
            <w:top w:w="0" w:type="dxa"/>
            <w:left w:w="108" w:type="dxa"/>
            <w:bottom w:w="0" w:type="dxa"/>
            <w:right w:w="108" w:type="dxa"/>
          </w:tblCellMar>
        </w:tblPrEx>
        <w:trPr>
          <w:trHeight w:val="96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7B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53FA">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47C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用药提醒</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728A">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专病管理医护人员给患者设定了用药提醒，到服药时间点患者可以在公众号上收到提醒，可查看管理团队发送的用药指导报告；</w:t>
            </w:r>
          </w:p>
        </w:tc>
      </w:tr>
      <w:tr w14:paraId="043FCFF9">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6ED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99F5">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28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复诊提醒</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0855">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给患者设定的复诊复查计划后，自动进行复诊提醒；</w:t>
            </w:r>
          </w:p>
        </w:tc>
      </w:tr>
      <w:tr w14:paraId="49A72506">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FCB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403F">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D9E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健康宣教</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662D">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给患者发送注意事项、康复指导等发送到患者公众号，患者随时随地可以选择查阅。</w:t>
            </w:r>
          </w:p>
        </w:tc>
      </w:tr>
      <w:tr w14:paraId="2C3D2945">
        <w:tblPrEx>
          <w:tblCellMar>
            <w:top w:w="0" w:type="dxa"/>
            <w:left w:w="108" w:type="dxa"/>
            <w:bottom w:w="0" w:type="dxa"/>
            <w:right w:w="108" w:type="dxa"/>
          </w:tblCellMar>
        </w:tblPrEx>
        <w:trPr>
          <w:trHeight w:val="12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A008">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B8119">
            <w:pPr>
              <w:widowControl/>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个人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475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订单</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41EA">
            <w:pPr>
              <w:widowControl/>
              <w:spacing w:line="360" w:lineRule="auto"/>
              <w:jc w:val="left"/>
              <w:textAlignment w:val="center"/>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支持查看服务包购买订单记录，包括待支付、已取消、已完成状态。通过与电子票据系统对接，支持订单发票申请及发票查看,</w:t>
            </w:r>
          </w:p>
        </w:tc>
      </w:tr>
      <w:tr w14:paraId="4CCBA24D">
        <w:tblPrEx>
          <w:tblCellMar>
            <w:top w:w="0" w:type="dxa"/>
            <w:left w:w="108" w:type="dxa"/>
            <w:bottom w:w="0" w:type="dxa"/>
            <w:right w:w="108"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EDD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47EC">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2449">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档案</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E91">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患者可以对个人资料、病历资料、专病档案、测评记录、指导方案、管理计划、指标数据、用药记录、饮食记录、运动记录、健康宣教、随访记录、病历资料、管理总结、讲座记录、运动计划、用药计划等进行查看、进行维护管理；</w:t>
            </w:r>
          </w:p>
        </w:tc>
      </w:tr>
      <w:tr w14:paraId="4F5A8A37">
        <w:tblPrEx>
          <w:tblCellMar>
            <w:top w:w="0" w:type="dxa"/>
            <w:left w:w="108" w:type="dxa"/>
            <w:bottom w:w="0" w:type="dxa"/>
            <w:right w:w="108" w:type="dxa"/>
          </w:tblCellMar>
        </w:tblPrEx>
        <w:trPr>
          <w:trHeight w:val="12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715C">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74EE">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0F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医生</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034">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支持患者</w:t>
            </w:r>
            <w:r>
              <w:rPr>
                <w:rFonts w:hint="eastAsia" w:ascii="宋体" w:hAnsi="宋体" w:eastAsia="宋体" w:cs="宋体"/>
                <w:color w:val="auto"/>
                <w:kern w:val="0"/>
                <w:sz w:val="21"/>
                <w:szCs w:val="21"/>
                <w:highlight w:val="none"/>
              </w:rPr>
              <w:t>在</w:t>
            </w:r>
            <w:r>
              <w:rPr>
                <w:rFonts w:hint="eastAsia" w:ascii="宋体" w:hAnsi="宋体" w:cs="宋体"/>
                <w:color w:val="auto"/>
                <w:kern w:val="0"/>
                <w:sz w:val="21"/>
                <w:szCs w:val="21"/>
                <w:highlight w:val="none"/>
                <w:lang w:val="en-US" w:eastAsia="zh-CN"/>
              </w:rPr>
              <w:t>例如“个人</w:t>
            </w:r>
            <w:r>
              <w:rPr>
                <w:rFonts w:hint="eastAsia" w:ascii="宋体" w:hAnsi="宋体" w:eastAsia="宋体" w:cs="宋体"/>
                <w:color w:val="auto"/>
                <w:kern w:val="0"/>
                <w:sz w:val="21"/>
                <w:szCs w:val="21"/>
                <w:highlight w:val="none"/>
              </w:rPr>
              <w:t>医生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里面快速找到本人的医生和服务本人的团队。</w:t>
            </w:r>
          </w:p>
        </w:tc>
      </w:tr>
      <w:tr w14:paraId="6E2CB9E9">
        <w:tblPrEx>
          <w:tblCellMar>
            <w:top w:w="0" w:type="dxa"/>
            <w:left w:w="108" w:type="dxa"/>
            <w:bottom w:w="0" w:type="dxa"/>
            <w:right w:w="108" w:type="dxa"/>
          </w:tblCellMar>
        </w:tblPrEx>
        <w:trPr>
          <w:trHeight w:val="3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533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FC69">
            <w:pPr>
              <w:spacing w:line="360" w:lineRule="auto"/>
              <w:jc w:val="center"/>
              <w:rPr>
                <w:rFonts w:hint="eastAsia" w:ascii="宋体" w:hAnsi="宋体" w:eastAsia="宋体" w:cs="宋体"/>
                <w:color w:val="auto"/>
                <w:sz w:val="21"/>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60B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个人</w:t>
            </w:r>
            <w:r>
              <w:rPr>
                <w:rFonts w:hint="eastAsia" w:ascii="宋体" w:hAnsi="宋体" w:eastAsia="宋体" w:cs="宋体"/>
                <w:color w:val="auto"/>
                <w:kern w:val="0"/>
                <w:sz w:val="21"/>
                <w:szCs w:val="21"/>
                <w:highlight w:val="none"/>
              </w:rPr>
              <w:t>资料</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A02">
            <w:pPr>
              <w:widowControl/>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患者个人用户信息维护；微信绑定；手机绑定等；</w:t>
            </w:r>
          </w:p>
        </w:tc>
      </w:tr>
    </w:tbl>
    <w:p w14:paraId="0910C5CB">
      <w:pPr>
        <w:rPr>
          <w:rFonts w:hint="eastAsia"/>
          <w:color w:val="auto"/>
          <w:highlight w:val="none"/>
        </w:rPr>
      </w:pPr>
    </w:p>
    <w:p w14:paraId="4B07D317">
      <w:pPr>
        <w:pStyle w:val="6"/>
        <w:rPr>
          <w:rFonts w:hint="eastAsia"/>
          <w:b/>
          <w:bCs/>
          <w:color w:val="auto"/>
          <w:highlight w:val="none"/>
          <w:lang w:val="en-US" w:eastAsia="zh-CN"/>
        </w:rPr>
      </w:pPr>
      <w:r>
        <w:rPr>
          <w:rFonts w:hint="eastAsia"/>
          <w:b/>
          <w:bCs/>
          <w:color w:val="auto"/>
          <w:highlight w:val="none"/>
          <w:lang w:val="en-US" w:eastAsia="zh-CN"/>
        </w:rPr>
        <w:t>其他要求</w:t>
      </w:r>
    </w:p>
    <w:p w14:paraId="5DAED9B5">
      <w:pPr>
        <w:pStyle w:val="6"/>
        <w:rPr>
          <w:rFonts w:hint="default"/>
          <w:b/>
          <w:bCs/>
          <w:color w:val="auto"/>
          <w:highlight w:val="none"/>
          <w:lang w:val="en-US" w:eastAsia="zh-CN"/>
        </w:rPr>
      </w:pPr>
      <w:r>
        <w:rPr>
          <w:rFonts w:hint="eastAsia"/>
          <w:b/>
          <w:bCs/>
          <w:color w:val="auto"/>
          <w:highlight w:val="none"/>
          <w:lang w:val="en-US" w:eastAsia="zh-CN"/>
        </w:rPr>
        <w:t>知识产权</w:t>
      </w:r>
    </w:p>
    <w:p w14:paraId="1718C7EB">
      <w:pPr>
        <w:pStyle w:val="6"/>
        <w:rPr>
          <w:rFonts w:hint="default"/>
          <w:color w:val="auto"/>
          <w:highlight w:val="none"/>
          <w:lang w:val="en-US" w:eastAsia="zh-CN"/>
        </w:rPr>
      </w:pPr>
      <w:r>
        <w:rPr>
          <w:rFonts w:hint="default"/>
          <w:color w:val="auto"/>
          <w:highlight w:val="none"/>
          <w:lang w:val="en-US" w:eastAsia="zh-CN"/>
        </w:rPr>
        <w:t>1．本项目供应商必须保证提供的产品（软件、服务内容）系自主研发或者依法享有完全的知识产权，并且提供本项目运行所需的服务器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14:paraId="0835FC73">
      <w:pPr>
        <w:pStyle w:val="6"/>
        <w:rPr>
          <w:rFonts w:hint="default"/>
          <w:color w:val="auto"/>
          <w:highlight w:val="none"/>
          <w:lang w:val="en-US" w:eastAsia="zh-CN"/>
        </w:rPr>
      </w:pPr>
      <w:r>
        <w:rPr>
          <w:rFonts w:hint="default"/>
          <w:color w:val="auto"/>
          <w:highlight w:val="none"/>
          <w:lang w:val="en-US" w:eastAsia="zh-CN"/>
        </w:rPr>
        <w:t>2．本项目所产生的所有数据所有者均为采购方，供应商在任何时期均不得不经允许拷贝、外传，不得设置障碍影响采购方获取数据。</w:t>
      </w:r>
    </w:p>
    <w:p w14:paraId="5D3195B0">
      <w:pPr>
        <w:pStyle w:val="6"/>
        <w:rPr>
          <w:rFonts w:hint="eastAsia"/>
          <w:b/>
          <w:bCs/>
          <w:color w:val="auto"/>
          <w:highlight w:val="none"/>
          <w:lang w:val="en-US" w:eastAsia="zh-CN"/>
        </w:rPr>
      </w:pPr>
      <w:r>
        <w:rPr>
          <w:rFonts w:hint="eastAsia"/>
          <w:b/>
          <w:bCs/>
          <w:color w:val="auto"/>
          <w:highlight w:val="none"/>
          <w:lang w:val="en-US" w:eastAsia="zh-CN"/>
        </w:rPr>
        <w:t>售后服务</w:t>
      </w:r>
    </w:p>
    <w:p w14:paraId="57628405">
      <w:pPr>
        <w:pStyle w:val="6"/>
        <w:rPr>
          <w:rFonts w:hint="default"/>
          <w:color w:val="auto"/>
          <w:highlight w:val="none"/>
          <w:lang w:val="en-US" w:eastAsia="zh-CN"/>
        </w:rPr>
      </w:pPr>
      <w:r>
        <w:rPr>
          <w:rFonts w:hint="default"/>
          <w:color w:val="auto"/>
          <w:highlight w:val="none"/>
          <w:lang w:val="en-US" w:eastAsia="zh-CN"/>
        </w:rPr>
        <w:t>1.须提供全天、完备、及时的售后服务。</w:t>
      </w:r>
    </w:p>
    <w:p w14:paraId="3C6C135F">
      <w:pPr>
        <w:pStyle w:val="6"/>
        <w:rPr>
          <w:rFonts w:hint="default"/>
          <w:color w:val="auto"/>
          <w:highlight w:val="none"/>
          <w:lang w:val="en-US" w:eastAsia="zh-CN"/>
        </w:rPr>
      </w:pPr>
      <w:r>
        <w:rPr>
          <w:rFonts w:hint="default"/>
          <w:color w:val="auto"/>
          <w:highlight w:val="none"/>
          <w:lang w:val="en-US" w:eastAsia="zh-CN"/>
        </w:rPr>
        <w:t>2.项目验收之日起免费维保服务期不少于</w:t>
      </w:r>
      <w:r>
        <w:rPr>
          <w:rFonts w:hint="eastAsia"/>
          <w:color w:val="auto"/>
          <w:highlight w:val="none"/>
          <w:lang w:val="en-US" w:eastAsia="zh-CN"/>
        </w:rPr>
        <w:t>三</w:t>
      </w:r>
      <w:r>
        <w:rPr>
          <w:rFonts w:hint="default"/>
          <w:color w:val="auto"/>
          <w:highlight w:val="none"/>
          <w:lang w:val="en-US" w:eastAsia="zh-CN"/>
        </w:rPr>
        <w:t>年，须将服务期及服务方案写入投标文件。</w:t>
      </w:r>
    </w:p>
    <w:p w14:paraId="74B697A2">
      <w:pPr>
        <w:pStyle w:val="6"/>
        <w:rPr>
          <w:rFonts w:hint="default"/>
          <w:color w:val="auto"/>
          <w:highlight w:val="none"/>
          <w:lang w:val="en-US" w:eastAsia="zh-CN"/>
        </w:rPr>
      </w:pPr>
      <w:r>
        <w:rPr>
          <w:rFonts w:hint="default"/>
          <w:color w:val="auto"/>
          <w:highlight w:val="none"/>
          <w:lang w:val="en-US" w:eastAsia="zh-CN"/>
        </w:rPr>
        <w:t>3.无论由于哪一方产生的问题导致系统发生不正常情况时，中标人需立即响应并且全力配合解决，使系统尽快恢复正常</w:t>
      </w:r>
    </w:p>
    <w:p w14:paraId="1F9A489C">
      <w:pPr>
        <w:pStyle w:val="6"/>
        <w:rPr>
          <w:rFonts w:hint="default"/>
          <w:color w:val="auto"/>
          <w:highlight w:val="none"/>
          <w:lang w:val="en-US" w:eastAsia="zh-CN"/>
        </w:rPr>
      </w:pPr>
      <w:r>
        <w:rPr>
          <w:rFonts w:hint="default"/>
          <w:color w:val="auto"/>
          <w:highlight w:val="none"/>
          <w:lang w:val="en-US" w:eastAsia="zh-CN"/>
        </w:rPr>
        <w:t>4.中标人需提供在免费维护期中的详细维护服务和技术支持计划，若遇到与软硬件产品相关的技术问题，能够及时响应，委派技术工程师提供现场技术支持和服务。</w:t>
      </w:r>
    </w:p>
    <w:p w14:paraId="7AA982C8">
      <w:pPr>
        <w:pStyle w:val="6"/>
        <w:rPr>
          <w:rFonts w:hint="default"/>
          <w:color w:val="auto"/>
          <w:highlight w:val="none"/>
          <w:lang w:val="en-US" w:eastAsia="zh-CN"/>
        </w:rPr>
      </w:pPr>
      <w:r>
        <w:rPr>
          <w:rFonts w:hint="default"/>
          <w:color w:val="auto"/>
          <w:highlight w:val="none"/>
          <w:lang w:val="en-US" w:eastAsia="zh-CN"/>
        </w:rPr>
        <w:t>5.. 服务期内完成日常系统维护，在维保期内提供应用系统软件等各方面的维护，满足项目所需的与应用软件相关的各类技术服务。</w:t>
      </w:r>
    </w:p>
    <w:p w14:paraId="552B0FEE">
      <w:pPr>
        <w:pStyle w:val="6"/>
        <w:rPr>
          <w:rFonts w:hint="default"/>
          <w:color w:val="auto"/>
          <w:highlight w:val="none"/>
          <w:lang w:val="en-US" w:eastAsia="zh-CN"/>
        </w:rPr>
      </w:pPr>
      <w:r>
        <w:rPr>
          <w:rFonts w:hint="default"/>
          <w:color w:val="auto"/>
          <w:highlight w:val="none"/>
          <w:lang w:val="en-US" w:eastAsia="zh-CN"/>
        </w:rPr>
        <w:t>6.本项目需要中标人提供售后服务事宜，同时提供7*24小时语言（中文）支持。</w:t>
      </w:r>
    </w:p>
    <w:p w14:paraId="0B708E72">
      <w:pPr>
        <w:pStyle w:val="6"/>
        <w:rPr>
          <w:rFonts w:hint="default"/>
          <w:color w:val="auto"/>
          <w:highlight w:val="none"/>
          <w:lang w:val="en-US" w:eastAsia="zh-CN"/>
        </w:rPr>
      </w:pPr>
      <w:r>
        <w:rPr>
          <w:rFonts w:hint="default"/>
          <w:color w:val="auto"/>
          <w:highlight w:val="none"/>
          <w:lang w:val="en-US" w:eastAsia="zh-CN"/>
        </w:rPr>
        <w:t>7.无论由于哪一方产生的问题导致系统发生不正常情况时，中标人需立即响应并且全力配合解决，使系统尽快恢复正常。</w:t>
      </w:r>
    </w:p>
    <w:p w14:paraId="47492EDB">
      <w:pPr>
        <w:pStyle w:val="6"/>
        <w:rPr>
          <w:rFonts w:hint="default"/>
          <w:color w:val="auto"/>
          <w:highlight w:val="none"/>
          <w:lang w:val="en-US" w:eastAsia="zh-CN"/>
        </w:rPr>
      </w:pPr>
      <w:r>
        <w:rPr>
          <w:rFonts w:hint="default"/>
          <w:color w:val="auto"/>
          <w:highlight w:val="none"/>
          <w:lang w:val="en-US" w:eastAsia="zh-CN"/>
        </w:rPr>
        <w:t>8.投标人所报的价格在合同执行过程中是固定不变的，不得以任何理由予以变更（系统功能性开发另行商议）。</w:t>
      </w:r>
    </w:p>
    <w:p w14:paraId="1B2B902E">
      <w:pPr>
        <w:pStyle w:val="6"/>
        <w:rPr>
          <w:rFonts w:hint="default"/>
          <w:color w:val="auto"/>
          <w:highlight w:val="none"/>
          <w:lang w:val="en-US" w:eastAsia="zh-CN"/>
        </w:rPr>
      </w:pPr>
      <w:r>
        <w:rPr>
          <w:rFonts w:hint="default"/>
          <w:color w:val="auto"/>
          <w:highlight w:val="none"/>
          <w:lang w:val="en-US" w:eastAsia="zh-CN"/>
        </w:rPr>
        <w:t>9.中标人应当按照合同约定履行义务，完成中标项目全部工作内容。</w:t>
      </w:r>
    </w:p>
    <w:p w14:paraId="4311B493">
      <w:pPr>
        <w:pStyle w:val="6"/>
        <w:rPr>
          <w:rFonts w:hint="eastAsia"/>
          <w:b/>
          <w:bCs/>
          <w:color w:val="auto"/>
          <w:highlight w:val="none"/>
          <w:lang w:val="en-US" w:eastAsia="zh-CN"/>
        </w:rPr>
      </w:pPr>
      <w:r>
        <w:rPr>
          <w:rFonts w:hint="eastAsia"/>
          <w:b/>
          <w:bCs/>
          <w:color w:val="auto"/>
          <w:highlight w:val="none"/>
          <w:lang w:val="en-US" w:eastAsia="zh-CN"/>
        </w:rPr>
        <w:t>培训</w:t>
      </w:r>
    </w:p>
    <w:p w14:paraId="09A0CC46">
      <w:pPr>
        <w:pStyle w:val="6"/>
        <w:rPr>
          <w:rFonts w:hint="default"/>
          <w:color w:val="auto"/>
          <w:highlight w:val="none"/>
          <w:lang w:val="en-US" w:eastAsia="zh-CN"/>
        </w:rPr>
      </w:pPr>
      <w:r>
        <w:rPr>
          <w:rFonts w:hint="default"/>
          <w:color w:val="auto"/>
          <w:highlight w:val="none"/>
          <w:lang w:val="en-US" w:eastAsia="zh-CN"/>
        </w:rPr>
        <w:t xml:space="preserve">1.本项目要求中标人对招标人技术人员进行全面技术培训。中标人对招标方人员的培训，应使招标方人员可以独立操作、维护、管理，从而使招标方人员能独立进行管理、故障处理、日常测试维护等工作，确保系统能正常安全运行。 </w:t>
      </w:r>
    </w:p>
    <w:p w14:paraId="38440632">
      <w:pPr>
        <w:pStyle w:val="6"/>
        <w:rPr>
          <w:rFonts w:hint="default"/>
          <w:color w:val="auto"/>
          <w:highlight w:val="none"/>
          <w:lang w:val="en-US" w:eastAsia="zh-CN"/>
        </w:rPr>
      </w:pPr>
      <w:r>
        <w:rPr>
          <w:rFonts w:hint="default"/>
          <w:color w:val="auto"/>
          <w:highlight w:val="none"/>
          <w:lang w:val="en-US" w:eastAsia="zh-CN"/>
        </w:rPr>
        <w:t>2.投标人负责提供培训所需计划和资料，培训所使用的语言和教材必须是中文。</w:t>
      </w:r>
    </w:p>
    <w:p w14:paraId="653ABA27">
      <w:pPr>
        <w:pStyle w:val="6"/>
        <w:rPr>
          <w:rFonts w:hint="default"/>
          <w:color w:val="auto"/>
          <w:highlight w:val="none"/>
          <w:lang w:val="en-US" w:eastAsia="zh-CN"/>
        </w:rPr>
      </w:pPr>
      <w:r>
        <w:rPr>
          <w:rFonts w:hint="default"/>
          <w:color w:val="auto"/>
          <w:highlight w:val="none"/>
          <w:lang w:val="en-US" w:eastAsia="zh-CN"/>
        </w:rPr>
        <w:t>3.培训的时间、内容、人员、期次等具体内容在执行过程中需根据招标人意见进行调整。</w:t>
      </w:r>
    </w:p>
    <w:p w14:paraId="6D3FBBFD">
      <w:pPr>
        <w:pStyle w:val="6"/>
        <w:rPr>
          <w:rFonts w:hint="eastAsia"/>
          <w:b/>
          <w:bCs/>
          <w:color w:val="auto"/>
          <w:highlight w:val="none"/>
          <w:lang w:val="en-US" w:eastAsia="zh-CN"/>
        </w:rPr>
      </w:pPr>
      <w:r>
        <w:rPr>
          <w:rFonts w:hint="eastAsia"/>
          <w:b/>
          <w:bCs/>
          <w:color w:val="auto"/>
          <w:highlight w:val="none"/>
          <w:lang w:val="en-US" w:eastAsia="zh-CN"/>
        </w:rPr>
        <w:t>其他</w:t>
      </w:r>
    </w:p>
    <w:p w14:paraId="07E90055">
      <w:pPr>
        <w:pStyle w:val="6"/>
        <w:rPr>
          <w:rFonts w:hint="default"/>
          <w:b w:val="0"/>
          <w:bCs w:val="0"/>
          <w:color w:val="auto"/>
          <w:highlight w:val="none"/>
          <w:lang w:val="en-US" w:eastAsia="zh-CN"/>
        </w:rPr>
      </w:pPr>
      <w:r>
        <w:rPr>
          <w:rFonts w:hint="default"/>
          <w:b w:val="0"/>
          <w:bCs w:val="0"/>
          <w:color w:val="auto"/>
          <w:highlight w:val="none"/>
          <w:lang w:val="en-US" w:eastAsia="zh-CN"/>
        </w:rPr>
        <w:t>1．投标人根据需求一览表中的设备情况，投标时必须提供详细合理的实施方案。</w:t>
      </w:r>
    </w:p>
    <w:p w14:paraId="0F6D4099">
      <w:pPr>
        <w:pStyle w:val="6"/>
        <w:rPr>
          <w:rFonts w:hint="default"/>
          <w:b w:val="0"/>
          <w:bCs w:val="0"/>
          <w:color w:val="auto"/>
          <w:highlight w:val="none"/>
          <w:lang w:val="en-US" w:eastAsia="zh-CN"/>
        </w:rPr>
      </w:pPr>
      <w:r>
        <w:rPr>
          <w:rFonts w:hint="default"/>
          <w:b w:val="0"/>
          <w:bCs w:val="0"/>
          <w:color w:val="auto"/>
          <w:highlight w:val="none"/>
          <w:lang w:val="en-US" w:eastAsia="zh-CN"/>
        </w:rPr>
        <w:t>2．投标人要充分考虑项目在实施过程中的实际环境等所有功能、材料、配件、费用，采购需求列表中如有不足，以实际需求为准，必须免费提供。中标人必须保证整个系统的正常运行。</w:t>
      </w:r>
    </w:p>
    <w:p w14:paraId="30F24CE2">
      <w:pPr>
        <w:pStyle w:val="6"/>
        <w:rPr>
          <w:rFonts w:hint="default"/>
          <w:b w:val="0"/>
          <w:bCs w:val="0"/>
          <w:color w:val="auto"/>
          <w:highlight w:val="none"/>
          <w:lang w:val="en-US" w:eastAsia="zh-CN"/>
        </w:rPr>
      </w:pPr>
      <w:r>
        <w:rPr>
          <w:rFonts w:hint="default"/>
          <w:b w:val="0"/>
          <w:bCs w:val="0"/>
          <w:color w:val="auto"/>
          <w:highlight w:val="none"/>
          <w:lang w:val="en-US" w:eastAsia="zh-CN"/>
        </w:rPr>
        <w:t>3．▲本项目的最终验收需依据招标文件及双方签订的采购合同文本的要求进行验收。</w:t>
      </w:r>
    </w:p>
    <w:p w14:paraId="267686A5">
      <w:pPr>
        <w:pStyle w:val="6"/>
        <w:rPr>
          <w:rFonts w:hint="default"/>
          <w:b w:val="0"/>
          <w:bCs w:val="0"/>
          <w:color w:val="auto"/>
          <w:highlight w:val="none"/>
          <w:lang w:val="en-US" w:eastAsia="zh-CN"/>
        </w:rPr>
      </w:pPr>
      <w:r>
        <w:rPr>
          <w:rFonts w:hint="default"/>
          <w:b w:val="0"/>
          <w:bCs w:val="0"/>
          <w:color w:val="auto"/>
          <w:highlight w:val="none"/>
          <w:lang w:val="en-US" w:eastAsia="zh-CN"/>
        </w:rPr>
        <w:t>4． 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130A7AEE">
      <w:pPr>
        <w:pStyle w:val="6"/>
        <w:rPr>
          <w:rFonts w:hint="default"/>
          <w:b w:val="0"/>
          <w:bCs w:val="0"/>
          <w:color w:val="auto"/>
          <w:highlight w:val="none"/>
          <w:lang w:val="en-US" w:eastAsia="zh-CN"/>
        </w:rPr>
      </w:pPr>
      <w:r>
        <w:rPr>
          <w:rFonts w:hint="default"/>
          <w:b w:val="0"/>
          <w:bCs w:val="0"/>
          <w:color w:val="auto"/>
          <w:highlight w:val="none"/>
          <w:lang w:val="en-US" w:eastAsia="zh-CN"/>
        </w:rPr>
        <w:t>5．▲投标人在投标活动中提供任何虚假材料，以及投标产品的技术参数不如实说明，其投标无效，没收投标保证金，取消中标资格，不予签订合同，并报监管部门查处，三年内不能参与政府项目采购。</w:t>
      </w:r>
    </w:p>
    <w:p w14:paraId="6F85F240">
      <w:pPr>
        <w:pStyle w:val="6"/>
        <w:rPr>
          <w:rFonts w:hint="default"/>
          <w:b w:val="0"/>
          <w:bCs w:val="0"/>
          <w:color w:val="auto"/>
          <w:highlight w:val="none"/>
          <w:lang w:val="en-US" w:eastAsia="zh-CN"/>
        </w:rPr>
      </w:pPr>
      <w:r>
        <w:rPr>
          <w:rFonts w:hint="default"/>
          <w:b w:val="0"/>
          <w:bCs w:val="0"/>
          <w:color w:val="auto"/>
          <w:highlight w:val="none"/>
          <w:lang w:val="en-US" w:eastAsia="zh-CN"/>
        </w:rPr>
        <w:t>6．签订合同前，如采购方需要，中标方须配合采购方及采购方邀请的第三方人员对中标人所提供的产品参数的真实性、实际效果按招标文件要求逐条测试，如发现投标产品及产品资质、性能指标不满足招标文件要求或不满足投标承诺的，按上面“其他要求”中第1条执行。</w:t>
      </w:r>
    </w:p>
    <w:p w14:paraId="5B6E5F0B">
      <w:pPr>
        <w:pStyle w:val="6"/>
        <w:rPr>
          <w:rFonts w:hint="default"/>
          <w:b w:val="0"/>
          <w:bCs w:val="0"/>
          <w:color w:val="auto"/>
          <w:highlight w:val="none"/>
          <w:lang w:val="en-US" w:eastAsia="zh-CN"/>
        </w:rPr>
      </w:pPr>
      <w:r>
        <w:rPr>
          <w:rFonts w:hint="default"/>
          <w:b w:val="0"/>
          <w:bCs w:val="0"/>
          <w:color w:val="auto"/>
          <w:highlight w:val="none"/>
          <w:lang w:val="en-US" w:eastAsia="zh-CN"/>
        </w:rPr>
        <w:t>7．若成交人所供产品及售后服务不按采购文件要求履约的，将按照《中华人民共和国政府采购法》及其实施条例等有关规定严肃处理。</w:t>
      </w:r>
    </w:p>
    <w:p w14:paraId="102E8266">
      <w:pPr>
        <w:pStyle w:val="6"/>
        <w:rPr>
          <w:rFonts w:hint="default"/>
          <w:b w:val="0"/>
          <w:bCs w:val="0"/>
          <w:color w:val="auto"/>
          <w:highlight w:val="none"/>
          <w:lang w:val="en-US" w:eastAsia="zh-CN"/>
        </w:rPr>
      </w:pPr>
      <w:r>
        <w:rPr>
          <w:rFonts w:hint="default"/>
          <w:b w:val="0"/>
          <w:bCs w:val="0"/>
          <w:color w:val="auto"/>
          <w:highlight w:val="none"/>
          <w:lang w:val="en-US" w:eastAsia="zh-CN"/>
        </w:rPr>
        <w:t>8．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035602">
      <w:pPr>
        <w:pStyle w:val="6"/>
        <w:rPr>
          <w:rFonts w:hint="default"/>
          <w:b w:val="0"/>
          <w:bCs w:val="0"/>
          <w:color w:val="auto"/>
          <w:highlight w:val="none"/>
          <w:lang w:val="en-US" w:eastAsia="zh-CN"/>
        </w:rPr>
      </w:pPr>
      <w:r>
        <w:rPr>
          <w:rFonts w:hint="default"/>
          <w:b w:val="0"/>
          <w:bCs w:val="0"/>
          <w:color w:val="auto"/>
          <w:highlight w:val="none"/>
          <w:lang w:val="en-US" w:eastAsia="zh-CN"/>
        </w:rPr>
        <w:t>9．带“▲”</w:t>
      </w:r>
      <w:r>
        <w:rPr>
          <w:rFonts w:hint="default" w:eastAsia="宋体"/>
          <w:b w:val="0"/>
          <w:bCs w:val="0"/>
          <w:color w:val="auto"/>
          <w:highlight w:val="none"/>
          <w:lang w:val="en-US" w:eastAsia="zh-CN"/>
        </w:rPr>
        <w:t>号的条款</w:t>
      </w:r>
      <w:r>
        <w:rPr>
          <w:rFonts w:hint="eastAsia" w:eastAsia="宋体"/>
          <w:b w:val="0"/>
          <w:bCs w:val="0"/>
          <w:color w:val="auto"/>
          <w:highlight w:val="none"/>
          <w:lang w:val="en-US" w:eastAsia="zh-CN"/>
        </w:rPr>
        <w:t>需提供有加盖公章的清晰的功能截图</w:t>
      </w:r>
      <w:r>
        <w:rPr>
          <w:rFonts w:hint="default" w:eastAsia="宋体"/>
          <w:b w:val="0"/>
          <w:bCs w:val="0"/>
          <w:color w:val="auto"/>
          <w:highlight w:val="none"/>
          <w:lang w:val="en-US" w:eastAsia="zh-CN"/>
        </w:rPr>
        <w:t>，</w:t>
      </w:r>
      <w:r>
        <w:rPr>
          <w:rFonts w:hint="eastAsia"/>
          <w:b w:val="0"/>
          <w:bCs w:val="0"/>
          <w:color w:val="auto"/>
          <w:highlight w:val="none"/>
          <w:lang w:val="en-US" w:eastAsia="zh-CN"/>
        </w:rPr>
        <w:t>允许偏离，但将扣分，</w:t>
      </w:r>
      <w:r>
        <w:rPr>
          <w:rFonts w:hint="default" w:eastAsia="宋体"/>
          <w:b w:val="0"/>
          <w:bCs w:val="0"/>
          <w:color w:val="auto"/>
          <w:highlight w:val="none"/>
          <w:lang w:val="en-US" w:eastAsia="zh-CN"/>
        </w:rPr>
        <w:t>对该条</w:t>
      </w:r>
      <w:r>
        <w:rPr>
          <w:rFonts w:hint="default"/>
          <w:b w:val="0"/>
          <w:bCs w:val="0"/>
          <w:color w:val="auto"/>
          <w:highlight w:val="none"/>
          <w:lang w:val="en-US" w:eastAsia="zh-CN"/>
        </w:rPr>
        <w:t>款要求详见“评标办法及评分标准”。</w:t>
      </w:r>
    </w:p>
    <w:p w14:paraId="36396AF8">
      <w:pPr>
        <w:pStyle w:val="6"/>
        <w:rPr>
          <w:rFonts w:hint="default"/>
          <w:b w:val="0"/>
          <w:bCs w:val="0"/>
          <w:color w:val="auto"/>
          <w:highlight w:val="none"/>
          <w:lang w:val="en-US" w:eastAsia="zh-CN"/>
        </w:rPr>
      </w:pPr>
      <w:r>
        <w:rPr>
          <w:rFonts w:hint="default"/>
          <w:b w:val="0"/>
          <w:bCs w:val="0"/>
          <w:color w:val="auto"/>
          <w:highlight w:val="none"/>
          <w:lang w:val="en-US" w:eastAsia="zh-CN"/>
        </w:rPr>
        <w:t>10．系统具备信创版本，支持在国产服务器、数据库、操作系统上运行</w:t>
      </w:r>
      <w:r>
        <w:rPr>
          <w:rFonts w:hint="eastAsia"/>
          <w:b w:val="0"/>
          <w:bCs w:val="0"/>
          <w:color w:val="auto"/>
          <w:highlight w:val="none"/>
          <w:lang w:val="en-US" w:eastAsia="zh-CN"/>
        </w:rPr>
        <w:t>，</w:t>
      </w:r>
      <w:r>
        <w:rPr>
          <w:rFonts w:hint="default"/>
          <w:b w:val="0"/>
          <w:bCs w:val="0"/>
          <w:color w:val="auto"/>
          <w:highlight w:val="none"/>
          <w:lang w:val="en-US" w:eastAsia="zh-CN"/>
        </w:rPr>
        <w:t>并承诺在验收前完成适配测试，提供兼容性报告。在实施或运行期间，国家或医院提出要求时，中标方立即更新为信创版本，不另行收费</w:t>
      </w:r>
      <w:r>
        <w:rPr>
          <w:rFonts w:hint="eastAsia"/>
          <w:b w:val="0"/>
          <w:bCs w:val="0"/>
          <w:color w:val="auto"/>
          <w:highlight w:val="none"/>
          <w:lang w:val="en-US" w:eastAsia="zh-CN"/>
        </w:rPr>
        <w:t>。</w:t>
      </w:r>
    </w:p>
    <w:p w14:paraId="6533320E">
      <w:pPr>
        <w:pStyle w:val="6"/>
        <w:rPr>
          <w:rFonts w:hint="default"/>
          <w:b w:val="0"/>
          <w:bCs w:val="0"/>
          <w:color w:val="auto"/>
          <w:highlight w:val="none"/>
          <w:lang w:val="en-US" w:eastAsia="zh-CN"/>
        </w:rPr>
      </w:pPr>
      <w:r>
        <w:rPr>
          <w:rFonts w:hint="default"/>
          <w:b w:val="0"/>
          <w:bCs w:val="0"/>
          <w:color w:val="auto"/>
          <w:highlight w:val="none"/>
          <w:lang w:val="en-US" w:eastAsia="zh-CN"/>
        </w:rPr>
        <w:t>11.项目交付验收时必须提供完整文档资料，文档资料须包含详细的维护文档、数据结构、系统设计说明、操作手册、培训资料、功能说明、服务器运行资料、存储路径、开源软件清单、中间件清单</w:t>
      </w:r>
      <w:r>
        <w:rPr>
          <w:rFonts w:hint="eastAsia"/>
          <w:b w:val="0"/>
          <w:bCs w:val="0"/>
          <w:color w:val="auto"/>
          <w:highlight w:val="none"/>
          <w:lang w:val="en-US" w:eastAsia="zh-CN"/>
        </w:rPr>
        <w:t>、</w:t>
      </w:r>
      <w:r>
        <w:rPr>
          <w:rFonts w:ascii="Arial" w:hAnsi="Arial" w:eastAsia="宋体" w:cs="Arial"/>
          <w:i w:val="0"/>
          <w:iCs w:val="0"/>
          <w:caps w:val="0"/>
          <w:color w:val="111111"/>
          <w:spacing w:val="0"/>
          <w:sz w:val="21"/>
          <w:szCs w:val="21"/>
          <w:shd w:val="clear" w:fill="FFFFFF"/>
        </w:rPr>
        <w:t>数据库设计文档、AI模型训练说明、知识库维护手册、接口文档</w:t>
      </w:r>
      <w:bookmarkStart w:id="17" w:name="_GoBack"/>
      <w:bookmarkEnd w:id="17"/>
      <w:r>
        <w:rPr>
          <w:rFonts w:hint="default"/>
          <w:b w:val="0"/>
          <w:bCs w:val="0"/>
          <w:color w:val="auto"/>
          <w:highlight w:val="none"/>
          <w:lang w:val="en-US" w:eastAsia="zh-CN"/>
        </w:rPr>
        <w:t>等。</w:t>
      </w:r>
    </w:p>
    <w:p w14:paraId="24C3E650">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5CF3E"/>
    <w:multiLevelType w:val="singleLevel"/>
    <w:tmpl w:val="85A5CF3E"/>
    <w:lvl w:ilvl="0" w:tentative="0">
      <w:start w:val="1"/>
      <w:numFmt w:val="decimal"/>
      <w:suff w:val="nothing"/>
      <w:lvlText w:val="%1、"/>
      <w:lvlJc w:val="left"/>
    </w:lvl>
  </w:abstractNum>
  <w:abstractNum w:abstractNumId="1">
    <w:nsid w:val="97232229"/>
    <w:multiLevelType w:val="singleLevel"/>
    <w:tmpl w:val="97232229"/>
    <w:lvl w:ilvl="0" w:tentative="0">
      <w:start w:val="1"/>
      <w:numFmt w:val="decimal"/>
      <w:suff w:val="nothing"/>
      <w:lvlText w:val="%1、"/>
      <w:lvlJc w:val="left"/>
    </w:lvl>
  </w:abstractNum>
  <w:abstractNum w:abstractNumId="2">
    <w:nsid w:val="0480E578"/>
    <w:multiLevelType w:val="singleLevel"/>
    <w:tmpl w:val="0480E578"/>
    <w:lvl w:ilvl="0" w:tentative="0">
      <w:start w:val="1"/>
      <w:numFmt w:val="chineseCounting"/>
      <w:suff w:val="nothing"/>
      <w:lvlText w:val="%1、"/>
      <w:lvlJc w:val="left"/>
      <w:rPr>
        <w:rFonts w:hint="eastAsia"/>
      </w:rPr>
    </w:lvl>
  </w:abstractNum>
  <w:abstractNum w:abstractNumId="3">
    <w:nsid w:val="1FA00A65"/>
    <w:multiLevelType w:val="singleLevel"/>
    <w:tmpl w:val="1FA00A65"/>
    <w:lvl w:ilvl="0" w:tentative="0">
      <w:start w:val="1"/>
      <w:numFmt w:val="decimal"/>
      <w:suff w:val="nothing"/>
      <w:lvlText w:val="%1、"/>
      <w:lvlJc w:val="left"/>
    </w:lvl>
  </w:abstractNum>
  <w:abstractNum w:abstractNumId="4">
    <w:nsid w:val="32DA879F"/>
    <w:multiLevelType w:val="singleLevel"/>
    <w:tmpl w:val="32DA879F"/>
    <w:lvl w:ilvl="0" w:tentative="0">
      <w:start w:val="1"/>
      <w:numFmt w:val="decimal"/>
      <w:suff w:val="nothing"/>
      <w:lvlText w:val="%1、"/>
      <w:lvlJc w:val="left"/>
    </w:lvl>
  </w:abstractNum>
  <w:abstractNum w:abstractNumId="5">
    <w:nsid w:val="5BBEA2D8"/>
    <w:multiLevelType w:val="singleLevel"/>
    <w:tmpl w:val="5BBEA2D8"/>
    <w:lvl w:ilvl="0" w:tentative="0">
      <w:start w:val="1"/>
      <w:numFmt w:val="decimal"/>
      <w:suff w:val="nothing"/>
      <w:lvlText w:val="%1、"/>
      <w:lvlJc w:val="left"/>
    </w:lvl>
  </w:abstractNum>
  <w:abstractNum w:abstractNumId="6">
    <w:nsid w:val="7518A041"/>
    <w:multiLevelType w:val="singleLevel"/>
    <w:tmpl w:val="7518A041"/>
    <w:lvl w:ilvl="0" w:tentative="0">
      <w:start w:val="1"/>
      <w:numFmt w:val="decimal"/>
      <w:suff w:val="nothing"/>
      <w:lvlText w:val="%1、"/>
      <w:lvlJc w:val="left"/>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E2F59"/>
    <w:rsid w:val="051D1834"/>
    <w:rsid w:val="070E7804"/>
    <w:rsid w:val="0FCD5F53"/>
    <w:rsid w:val="15F67CD4"/>
    <w:rsid w:val="17092B06"/>
    <w:rsid w:val="18CC7CD7"/>
    <w:rsid w:val="25A04555"/>
    <w:rsid w:val="2B420CAD"/>
    <w:rsid w:val="33E734C1"/>
    <w:rsid w:val="384E7BEB"/>
    <w:rsid w:val="3B697E8A"/>
    <w:rsid w:val="3CD01ADD"/>
    <w:rsid w:val="3D32491C"/>
    <w:rsid w:val="3E7F5EB7"/>
    <w:rsid w:val="411C0222"/>
    <w:rsid w:val="42CA1B80"/>
    <w:rsid w:val="44450C02"/>
    <w:rsid w:val="4C9A533B"/>
    <w:rsid w:val="59D45112"/>
    <w:rsid w:val="5F93775D"/>
    <w:rsid w:val="6080308E"/>
    <w:rsid w:val="730E2F59"/>
    <w:rsid w:val="7E68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00" w:beforeLines="0" w:beforeAutospacing="0" w:after="100" w:afterLines="0" w:afterAutospacing="0" w:line="413" w:lineRule="auto"/>
      <w:outlineLvl w:val="2"/>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pPr>
    <w:rPr>
      <w:rFonts w:ascii="Times New Roman" w:hAnsi="Times New Roman"/>
      <w:szCs w:val="20"/>
      <w:lang w:eastAsia="en-US"/>
    </w:r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rPr>
      <w:rFonts w:asciiTheme="minorHAnsi" w:hAnsiTheme="minorHAnsi" w:cstheme="minorBidi"/>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font71"/>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14304</Words>
  <Characters>14521</Characters>
  <Lines>0</Lines>
  <Paragraphs>0</Paragraphs>
  <TotalTime>1</TotalTime>
  <ScaleCrop>false</ScaleCrop>
  <LinksUpToDate>false</LinksUpToDate>
  <CharactersWithSpaces>14538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2025-07-30T00:35:00Z</dcterms:created>
  <dc:creator>七武海</dc:creator>
  <cp:lastModifiedBy>WPS_1675046108</cp:lastModifiedBy>
  <dcterms:modified xsi:type="dcterms:W3CDTF">2025-09-25T00:08:16Z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F59F969C8C7741F49A413CE5BE963C30_13</vt:lpwstr>
  </property>
  <property fmtid="{D5CDD505-2E9C-101B-9397-08002B2CF9AE}" pid="4" name="KSOTemplateDocerSaveRecord">
    <vt:lpwstr>eyJoZGlkIjoiODNhYmMwNmE1N2NjZjE1NWVlOTVmNDMyYTRhNDJjZDEiLCJ1c2VySWQiOiIxNDcwNjA3MTAzIn0=</vt:lpwstr>
  </property>
</Properties>
</file>