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19098">
      <w:pPr>
        <w:spacing w:line="360" w:lineRule="auto"/>
        <w:ind w:firstLine="420" w:firstLineChars="200"/>
        <w:rPr>
          <w:rFonts w:hint="eastAsia" w:ascii="宋体" w:hAnsi="宋体"/>
          <w:bCs/>
          <w:color w:val="000000"/>
          <w:szCs w:val="21"/>
        </w:rPr>
      </w:pPr>
      <w:r>
        <w:rPr>
          <w:rFonts w:hint="eastAsia" w:ascii="宋体" w:hAnsi="宋体"/>
          <w:bCs/>
          <w:color w:val="000000"/>
          <w:szCs w:val="21"/>
        </w:rPr>
        <w:t>评审依据：</w:t>
      </w:r>
      <w:r>
        <w:rPr>
          <w:rFonts w:hint="eastAsia" w:ascii="宋体" w:hAnsi="宋体"/>
          <w:bCs/>
          <w:color w:val="000000"/>
          <w:szCs w:val="21"/>
          <w:lang w:val="en-US" w:eastAsia="zh-CN"/>
        </w:rPr>
        <w:t>评审</w:t>
      </w:r>
      <w:r>
        <w:rPr>
          <w:rFonts w:hint="eastAsia" w:ascii="宋体" w:hAnsi="宋体"/>
          <w:bCs/>
          <w:color w:val="000000"/>
          <w:szCs w:val="21"/>
        </w:rPr>
        <w:t>小组将以</w:t>
      </w:r>
      <w:r>
        <w:rPr>
          <w:rFonts w:hint="eastAsia" w:ascii="宋体" w:hAnsi="宋体"/>
          <w:bCs/>
          <w:color w:val="000000"/>
          <w:szCs w:val="21"/>
          <w:lang w:val="en-US" w:eastAsia="zh-CN"/>
        </w:rPr>
        <w:t>投标</w:t>
      </w:r>
      <w:r>
        <w:rPr>
          <w:rFonts w:hint="eastAsia" w:ascii="宋体" w:hAnsi="宋体"/>
          <w:bCs/>
          <w:color w:val="000000"/>
          <w:szCs w:val="21"/>
        </w:rPr>
        <w:t>响应文件为评审依据，对供应商的报价、技术、商务等方面内容按百分制打分。（计分方法按四舍五入取至百分位）</w:t>
      </w:r>
    </w:p>
    <w:tbl>
      <w:tblPr>
        <w:tblStyle w:val="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519"/>
        <w:gridCol w:w="851"/>
      </w:tblGrid>
      <w:tr w14:paraId="17D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9A3BEB4">
            <w:pPr>
              <w:widowControl/>
              <w:spacing w:line="400" w:lineRule="exact"/>
              <w:jc w:val="center"/>
              <w:rPr>
                <w:rFonts w:ascii="宋体" w:hAnsi="宋体" w:cs="Tahoma"/>
                <w:b/>
                <w:bCs/>
                <w:color w:val="auto"/>
                <w:kern w:val="0"/>
                <w:szCs w:val="21"/>
              </w:rPr>
            </w:pPr>
            <w:bookmarkStart w:id="0" w:name="_GoBack"/>
            <w:r>
              <w:rPr>
                <w:rFonts w:hint="eastAsia" w:ascii="宋体" w:hAnsi="宋体" w:cs="Tahoma"/>
                <w:b/>
                <w:bCs/>
                <w:color w:val="auto"/>
                <w:kern w:val="0"/>
                <w:szCs w:val="21"/>
              </w:rPr>
              <w:t>序号</w:t>
            </w:r>
          </w:p>
        </w:tc>
        <w:tc>
          <w:tcPr>
            <w:tcW w:w="1418" w:type="dxa"/>
            <w:noWrap w:val="0"/>
            <w:vAlign w:val="center"/>
          </w:tcPr>
          <w:p w14:paraId="15AA3EBA">
            <w:pPr>
              <w:widowControl/>
              <w:spacing w:line="400" w:lineRule="exact"/>
              <w:jc w:val="center"/>
              <w:rPr>
                <w:rFonts w:hint="eastAsia" w:ascii="宋体" w:hAnsi="宋体" w:eastAsia="宋体" w:cs="Tahoma"/>
                <w:b/>
                <w:bCs/>
                <w:color w:val="auto"/>
                <w:kern w:val="0"/>
                <w:szCs w:val="21"/>
                <w:lang w:val="en-US" w:eastAsia="zh-CN"/>
              </w:rPr>
            </w:pPr>
            <w:r>
              <w:rPr>
                <w:rFonts w:hint="eastAsia" w:ascii="宋体" w:hAnsi="宋体" w:cs="Tahoma"/>
                <w:b/>
                <w:bCs/>
                <w:color w:val="auto"/>
                <w:kern w:val="0"/>
                <w:szCs w:val="21"/>
              </w:rPr>
              <w:t>评审</w:t>
            </w:r>
            <w:r>
              <w:rPr>
                <w:rFonts w:hint="eastAsia" w:ascii="宋体" w:hAnsi="宋体" w:cs="Tahoma"/>
                <w:b/>
                <w:bCs/>
                <w:color w:val="auto"/>
                <w:kern w:val="0"/>
                <w:szCs w:val="21"/>
                <w:lang w:val="en-US" w:eastAsia="zh-CN"/>
              </w:rPr>
              <w:t>项目</w:t>
            </w:r>
          </w:p>
        </w:tc>
        <w:tc>
          <w:tcPr>
            <w:tcW w:w="6519" w:type="dxa"/>
            <w:noWrap w:val="0"/>
            <w:vAlign w:val="center"/>
          </w:tcPr>
          <w:p w14:paraId="3E6A418C">
            <w:pPr>
              <w:widowControl/>
              <w:spacing w:line="400" w:lineRule="exact"/>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851" w:type="dxa"/>
            <w:noWrap w:val="0"/>
            <w:vAlign w:val="center"/>
          </w:tcPr>
          <w:p w14:paraId="7E5CE357">
            <w:pPr>
              <w:widowControl/>
              <w:spacing w:line="400" w:lineRule="exact"/>
              <w:jc w:val="center"/>
              <w:rPr>
                <w:rFonts w:ascii="宋体" w:hAnsi="宋体" w:cs="Tahoma"/>
                <w:b/>
                <w:bCs/>
                <w:color w:val="auto"/>
                <w:kern w:val="0"/>
                <w:szCs w:val="21"/>
              </w:rPr>
            </w:pPr>
            <w:r>
              <w:rPr>
                <w:rFonts w:hint="eastAsia" w:ascii="宋体" w:hAnsi="宋体" w:cs="Tahoma"/>
                <w:b/>
                <w:bCs/>
                <w:color w:val="auto"/>
                <w:kern w:val="0"/>
                <w:szCs w:val="21"/>
              </w:rPr>
              <w:t>分值</w:t>
            </w:r>
          </w:p>
        </w:tc>
      </w:tr>
      <w:tr w14:paraId="2CC7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0E7C37FB">
            <w:pPr>
              <w:widowControl/>
              <w:spacing w:line="400" w:lineRule="exact"/>
              <w:jc w:val="center"/>
              <w:rPr>
                <w:rFonts w:hint="eastAsia" w:ascii="宋体" w:hAnsi="宋体" w:cs="Tahoma"/>
                <w:b/>
                <w:bCs/>
                <w:color w:val="auto"/>
                <w:kern w:val="0"/>
                <w:szCs w:val="21"/>
              </w:rPr>
            </w:pPr>
            <w:r>
              <w:rPr>
                <w:rFonts w:hint="eastAsia" w:ascii="宋体" w:hAnsi="宋体" w:cs="Tahoma"/>
                <w:color w:val="auto"/>
                <w:kern w:val="0"/>
                <w:szCs w:val="21"/>
              </w:rPr>
              <w:t>1</w:t>
            </w:r>
          </w:p>
        </w:tc>
        <w:tc>
          <w:tcPr>
            <w:tcW w:w="1418" w:type="dxa"/>
            <w:noWrap w:val="0"/>
            <w:vAlign w:val="center"/>
          </w:tcPr>
          <w:p w14:paraId="4097A60E">
            <w:pPr>
              <w:widowControl/>
              <w:spacing w:line="400" w:lineRule="exact"/>
              <w:jc w:val="center"/>
              <w:rPr>
                <w:rFonts w:hint="eastAsia" w:ascii="宋体" w:hAnsi="宋体" w:cs="Tahoma"/>
                <w:b/>
                <w:bCs/>
                <w:color w:val="auto"/>
                <w:kern w:val="0"/>
                <w:szCs w:val="21"/>
              </w:rPr>
            </w:pPr>
            <w:r>
              <w:rPr>
                <w:rFonts w:hint="eastAsia" w:ascii="宋体" w:hAnsi="宋体"/>
                <w:b/>
                <w:bCs/>
                <w:color w:val="auto"/>
                <w:kern w:val="0"/>
                <w:szCs w:val="21"/>
              </w:rPr>
              <w:t>报价分</w:t>
            </w:r>
          </w:p>
        </w:tc>
        <w:tc>
          <w:tcPr>
            <w:tcW w:w="7370" w:type="dxa"/>
            <w:gridSpan w:val="2"/>
            <w:noWrap w:val="0"/>
            <w:vAlign w:val="center"/>
          </w:tcPr>
          <w:p w14:paraId="7CB9AD35">
            <w:pPr>
              <w:widowControl/>
              <w:spacing w:line="400" w:lineRule="exact"/>
              <w:jc w:val="center"/>
              <w:rPr>
                <w:rFonts w:hint="eastAsia" w:ascii="宋体" w:hAnsi="宋体" w:cs="Tahoma"/>
                <w:b/>
                <w:bCs/>
                <w:color w:val="auto"/>
                <w:kern w:val="0"/>
                <w:szCs w:val="21"/>
              </w:rPr>
            </w:pPr>
            <w:r>
              <w:rPr>
                <w:rFonts w:hint="eastAsia" w:ascii="宋体" w:hAnsi="宋体" w:cs="Tahoma"/>
                <w:b/>
                <w:bCs/>
                <w:color w:val="auto"/>
                <w:kern w:val="0"/>
                <w:szCs w:val="21"/>
              </w:rPr>
              <w:t>具体内容</w:t>
            </w:r>
          </w:p>
        </w:tc>
      </w:tr>
      <w:tr w14:paraId="64C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22115139">
            <w:pPr>
              <w:widowControl/>
              <w:spacing w:line="400" w:lineRule="exact"/>
              <w:jc w:val="center"/>
              <w:rPr>
                <w:rFonts w:hint="default" w:ascii="宋体" w:hAnsi="宋体" w:eastAsia="宋体" w:cs="Tahoma"/>
                <w:color w:val="auto"/>
                <w:kern w:val="0"/>
                <w:szCs w:val="21"/>
                <w:lang w:val="en-US" w:eastAsia="zh-CN"/>
              </w:rPr>
            </w:pPr>
            <w:r>
              <w:rPr>
                <w:rFonts w:hint="eastAsia" w:ascii="宋体" w:hAnsi="宋体"/>
                <w:bCs/>
                <w:color w:val="auto"/>
                <w:kern w:val="0"/>
                <w:szCs w:val="21"/>
              </w:rPr>
              <w:t>1</w:t>
            </w:r>
            <w:r>
              <w:rPr>
                <w:rFonts w:hint="eastAsia" w:ascii="宋体" w:hAnsi="宋体"/>
                <w:bCs/>
                <w:color w:val="auto"/>
                <w:kern w:val="0"/>
                <w:szCs w:val="21"/>
                <w:lang w:eastAsia="zh-CN"/>
              </w:rPr>
              <w:t>.</w:t>
            </w:r>
            <w:r>
              <w:rPr>
                <w:rFonts w:hint="eastAsia" w:ascii="宋体" w:hAnsi="宋体"/>
                <w:bCs/>
                <w:color w:val="auto"/>
                <w:kern w:val="0"/>
                <w:szCs w:val="21"/>
                <w:lang w:val="en-US" w:eastAsia="zh-CN"/>
              </w:rPr>
              <w:t>1</w:t>
            </w:r>
          </w:p>
        </w:tc>
        <w:tc>
          <w:tcPr>
            <w:tcW w:w="1418" w:type="dxa"/>
            <w:noWrap w:val="0"/>
            <w:vAlign w:val="center"/>
          </w:tcPr>
          <w:p w14:paraId="65236188">
            <w:pPr>
              <w:widowControl/>
              <w:spacing w:line="400" w:lineRule="exact"/>
              <w:jc w:val="center"/>
              <w:rPr>
                <w:rFonts w:ascii="宋体" w:hAnsi="宋体" w:cs="Tahoma"/>
                <w:color w:val="auto"/>
                <w:kern w:val="0"/>
                <w:szCs w:val="21"/>
              </w:rPr>
            </w:pPr>
            <w:r>
              <w:rPr>
                <w:rFonts w:hint="eastAsia" w:ascii="宋体" w:hAnsi="宋体"/>
                <w:color w:val="auto"/>
                <w:szCs w:val="21"/>
              </w:rPr>
              <w:t>报价分</w:t>
            </w:r>
          </w:p>
        </w:tc>
        <w:tc>
          <w:tcPr>
            <w:tcW w:w="6519" w:type="dxa"/>
            <w:noWrap w:val="0"/>
            <w:vAlign w:val="top"/>
          </w:tcPr>
          <w:p w14:paraId="29392324">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1、满足招标文件要求且最低的最终报价为基准价，其价格分为满分。</w:t>
            </w:r>
          </w:p>
          <w:p w14:paraId="668CE08B">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 xml:space="preserve">2、价格分计算公式：        </w:t>
            </w:r>
          </w:p>
          <w:p w14:paraId="11AF45AB">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报价得分=（基准价／最终报价）×</w:t>
            </w:r>
            <w:r>
              <w:rPr>
                <w:rFonts w:hint="eastAsia" w:hAnsi="宋体" w:cs="Times New Roman"/>
                <w:color w:val="auto"/>
                <w:lang w:val="en-US" w:eastAsia="zh-CN"/>
              </w:rPr>
              <w:t>25</w:t>
            </w:r>
            <w:r>
              <w:rPr>
                <w:rFonts w:hint="eastAsia" w:ascii="宋体" w:hAnsi="宋体" w:eastAsia="宋体" w:cs="Times New Roman"/>
                <w:color w:val="auto"/>
                <w:lang w:val="en-US" w:eastAsia="zh-CN"/>
              </w:rPr>
              <w:t>分</w:t>
            </w:r>
          </w:p>
          <w:p w14:paraId="137CB8A6">
            <w:pPr>
              <w:pStyle w:val="2"/>
              <w:spacing w:line="360" w:lineRule="auto"/>
              <w:ind w:firstLine="422" w:firstLineChars="200"/>
              <w:rPr>
                <w:rFonts w:hint="eastAsia" w:ascii="宋体" w:hAnsi="宋体" w:eastAsia="宋体" w:cs="Courier New"/>
                <w:bCs/>
                <w:color w:val="auto"/>
                <w:szCs w:val="21"/>
                <w:lang w:eastAsia="zh-CN"/>
              </w:rPr>
            </w:pPr>
            <w:r>
              <w:rPr>
                <w:rFonts w:hint="eastAsia" w:ascii="宋体" w:hAnsi="宋体" w:eastAsia="宋体" w:cs="Times New Roman"/>
                <w:b/>
                <w:bCs/>
                <w:color w:val="auto"/>
                <w:lang w:val="en-US" w:eastAsia="zh-CN"/>
              </w:rPr>
              <w:t>注</w:t>
            </w:r>
            <w:r>
              <w:rPr>
                <w:rFonts w:hint="eastAsia" w:ascii="宋体" w:hAnsi="宋体" w:eastAsia="宋体" w:cs="Times New Roman"/>
                <w:b/>
                <w:bCs/>
                <w:color w:val="auto"/>
                <w:lang w:val="en-US" w:eastAsia="zh-CN"/>
              </w:rPr>
              <w:t>：</w:t>
            </w:r>
            <w:r>
              <w:rPr>
                <w:rFonts w:ascii="Segoe UI" w:hAnsi="Segoe UI" w:eastAsia="Segoe UI" w:cs="Segoe UI"/>
                <w:i w:val="0"/>
                <w:iCs w:val="0"/>
                <w:caps w:val="0"/>
                <w:color w:val="auto"/>
                <w:spacing w:val="0"/>
                <w:sz w:val="21"/>
                <w:szCs w:val="21"/>
                <w:shd w:val="clear" w:fill="FFFFFF"/>
              </w:rPr>
              <w:t xml:space="preserve">若供应商最终报价低于所有通过符合性审查供应商报价平均值的 </w:t>
            </w:r>
            <w:r>
              <w:rPr>
                <w:rFonts w:hint="eastAsia" w:ascii="Segoe UI" w:hAnsi="Segoe UI" w:eastAsia="宋体" w:cs="Segoe UI"/>
                <w:i w:val="0"/>
                <w:iCs w:val="0"/>
                <w:caps w:val="0"/>
                <w:color w:val="auto"/>
                <w:spacing w:val="0"/>
                <w:sz w:val="21"/>
                <w:szCs w:val="21"/>
                <w:shd w:val="clear" w:fill="FFFFFF"/>
                <w:lang w:val="en-US" w:eastAsia="zh-CN"/>
              </w:rPr>
              <w:t>50</w:t>
            </w:r>
            <w:r>
              <w:rPr>
                <w:rFonts w:ascii="Segoe UI" w:hAnsi="Segoe UI" w:eastAsia="Segoe UI" w:cs="Segoe UI"/>
                <w:i w:val="0"/>
                <w:iCs w:val="0"/>
                <w:caps w:val="0"/>
                <w:color w:val="auto"/>
                <w:spacing w:val="0"/>
                <w:sz w:val="21"/>
                <w:szCs w:val="21"/>
                <w:shd w:val="clear" w:fill="FFFFFF"/>
              </w:rPr>
              <w:t>%，视为 “明显低于市场价”，</w:t>
            </w:r>
            <w:r>
              <w:rPr>
                <w:rFonts w:hint="eastAsia" w:ascii="宋体" w:hAnsi="宋体" w:eastAsia="宋体" w:cs="Times New Roman"/>
                <w:color w:val="auto"/>
                <w:sz w:val="21"/>
                <w:szCs w:val="21"/>
                <w:lang w:val="en-US" w:eastAsia="zh-CN"/>
              </w:rPr>
              <w:t>有可能影响产品质量或者不能诚信履约的，</w:t>
            </w:r>
            <w:r>
              <w:rPr>
                <w:rFonts w:ascii="Segoe UI" w:hAnsi="Segoe UI" w:eastAsia="Segoe UI" w:cs="Segoe UI"/>
                <w:i w:val="0"/>
                <w:iCs w:val="0"/>
                <w:caps w:val="0"/>
                <w:color w:val="auto"/>
                <w:spacing w:val="0"/>
                <w:sz w:val="21"/>
                <w:szCs w:val="21"/>
                <w:shd w:val="clear" w:fill="FFFFFF"/>
              </w:rPr>
              <w:t>需在</w:t>
            </w:r>
            <w:r>
              <w:rPr>
                <w:rFonts w:hint="eastAsia" w:ascii="宋体" w:hAnsi="宋体" w:eastAsia="宋体" w:cs="Times New Roman"/>
                <w:color w:val="auto"/>
                <w:lang w:val="en-US" w:eastAsia="zh-CN"/>
              </w:rPr>
              <w:t>评审现场合理的时间</w:t>
            </w:r>
            <w:r>
              <w:rPr>
                <w:rFonts w:ascii="Segoe UI" w:hAnsi="Segoe UI" w:eastAsia="Segoe UI" w:cs="Segoe UI"/>
                <w:i w:val="0"/>
                <w:iCs w:val="0"/>
                <w:caps w:val="0"/>
                <w:color w:val="auto"/>
                <w:spacing w:val="0"/>
                <w:sz w:val="21"/>
                <w:szCs w:val="21"/>
                <w:shd w:val="clear" w:fill="FFFFFF"/>
              </w:rPr>
              <w:t>30</w:t>
            </w:r>
            <w:r>
              <w:rPr>
                <w:rFonts w:hint="eastAsia" w:ascii="Segoe UI" w:hAnsi="Segoe UI" w:eastAsia="宋体" w:cs="Segoe UI"/>
                <w:i w:val="0"/>
                <w:iCs w:val="0"/>
                <w:caps w:val="0"/>
                <w:color w:val="auto"/>
                <w:spacing w:val="0"/>
                <w:sz w:val="21"/>
                <w:szCs w:val="21"/>
                <w:shd w:val="clear" w:fill="FFFFFF"/>
                <w:lang w:val="en-US" w:eastAsia="zh-CN"/>
              </w:rPr>
              <w:t>-50</w:t>
            </w:r>
            <w:r>
              <w:rPr>
                <w:rFonts w:ascii="Segoe UI" w:hAnsi="Segoe UI" w:eastAsia="Segoe UI" w:cs="Segoe UI"/>
                <w:i w:val="0"/>
                <w:iCs w:val="0"/>
                <w:caps w:val="0"/>
                <w:color w:val="auto"/>
                <w:spacing w:val="0"/>
                <w:sz w:val="21"/>
                <w:szCs w:val="21"/>
                <w:shd w:val="clear" w:fill="FFFFFF"/>
              </w:rPr>
              <w:t>分钟内提供成本构成说明，</w:t>
            </w:r>
            <w:r>
              <w:rPr>
                <w:rFonts w:hint="eastAsia" w:ascii="宋体" w:hAnsi="宋体" w:eastAsia="宋体" w:cs="Times New Roman"/>
                <w:color w:val="auto"/>
                <w:lang w:val="en-US" w:eastAsia="zh-CN"/>
              </w:rPr>
              <w:t>必要时提交相关证明材料</w:t>
            </w:r>
            <w:r>
              <w:rPr>
                <w:rFonts w:hint="eastAsia" w:hAnsi="宋体" w:cs="Times New Roman"/>
                <w:color w:val="auto"/>
                <w:lang w:val="en-US" w:eastAsia="zh-CN"/>
              </w:rPr>
              <w:t>，</w:t>
            </w:r>
            <w:r>
              <w:rPr>
                <w:rFonts w:ascii="Segoe UI" w:hAnsi="Segoe UI" w:eastAsia="Segoe UI" w:cs="Segoe UI"/>
                <w:i w:val="0"/>
                <w:iCs w:val="0"/>
                <w:caps w:val="0"/>
                <w:color w:val="auto"/>
                <w:spacing w:val="0"/>
                <w:sz w:val="21"/>
                <w:szCs w:val="21"/>
                <w:shd w:val="clear" w:fill="FFFFFF"/>
              </w:rPr>
              <w:t>无法证明合理性的作无效投标处理。</w:t>
            </w:r>
          </w:p>
        </w:tc>
        <w:tc>
          <w:tcPr>
            <w:tcW w:w="851" w:type="dxa"/>
            <w:noWrap w:val="0"/>
            <w:vAlign w:val="center"/>
          </w:tcPr>
          <w:p w14:paraId="70BF87CC">
            <w:pPr>
              <w:widowControl/>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25</w:t>
            </w:r>
            <w:r>
              <w:rPr>
                <w:rFonts w:hint="eastAsia" w:ascii="宋体" w:hAnsi="宋体" w:cs="Tahoma"/>
                <w:color w:val="auto"/>
                <w:kern w:val="0"/>
                <w:szCs w:val="21"/>
              </w:rPr>
              <w:t>分</w:t>
            </w:r>
          </w:p>
        </w:tc>
      </w:tr>
      <w:tr w14:paraId="037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5D8B26C">
            <w:pPr>
              <w:widowControl/>
              <w:spacing w:line="400" w:lineRule="exact"/>
              <w:jc w:val="center"/>
              <w:rPr>
                <w:rFonts w:ascii="宋体" w:hAnsi="宋体" w:cs="Tahoma"/>
                <w:b/>
                <w:color w:val="auto"/>
                <w:kern w:val="0"/>
                <w:szCs w:val="21"/>
              </w:rPr>
            </w:pPr>
            <w:r>
              <w:rPr>
                <w:rFonts w:hint="eastAsia" w:ascii="宋体" w:hAnsi="宋体"/>
                <w:b/>
                <w:bCs/>
                <w:color w:val="auto"/>
                <w:kern w:val="0"/>
                <w:szCs w:val="21"/>
              </w:rPr>
              <w:t>2</w:t>
            </w:r>
          </w:p>
        </w:tc>
        <w:tc>
          <w:tcPr>
            <w:tcW w:w="1418" w:type="dxa"/>
            <w:noWrap w:val="0"/>
            <w:vAlign w:val="center"/>
          </w:tcPr>
          <w:p w14:paraId="67404C68">
            <w:pPr>
              <w:widowControl/>
              <w:spacing w:line="400" w:lineRule="exact"/>
              <w:jc w:val="center"/>
              <w:rPr>
                <w:rFonts w:ascii="宋体" w:hAnsi="宋体" w:cs="Tahoma"/>
                <w:b/>
                <w:color w:val="auto"/>
                <w:kern w:val="0"/>
                <w:szCs w:val="21"/>
              </w:rPr>
            </w:pPr>
            <w:r>
              <w:rPr>
                <w:rFonts w:hint="eastAsia" w:ascii="宋体" w:hAnsi="宋体"/>
                <w:b/>
                <w:bCs/>
                <w:color w:val="auto"/>
                <w:kern w:val="0"/>
                <w:szCs w:val="21"/>
              </w:rPr>
              <w:t>技术分</w:t>
            </w:r>
          </w:p>
        </w:tc>
        <w:tc>
          <w:tcPr>
            <w:tcW w:w="7370" w:type="dxa"/>
            <w:gridSpan w:val="2"/>
            <w:noWrap w:val="0"/>
            <w:vAlign w:val="top"/>
          </w:tcPr>
          <w:p w14:paraId="3492FCB3">
            <w:pPr>
              <w:widowControl/>
              <w:spacing w:line="400" w:lineRule="exact"/>
              <w:jc w:val="center"/>
              <w:rPr>
                <w:rFonts w:ascii="宋体" w:hAnsi="宋体" w:cs="Tahoma"/>
                <w:b/>
                <w:color w:val="auto"/>
                <w:kern w:val="0"/>
                <w:szCs w:val="21"/>
              </w:rPr>
            </w:pPr>
            <w:r>
              <w:rPr>
                <w:rFonts w:hint="eastAsia" w:ascii="宋体" w:hAnsi="宋体" w:cs="Tahoma"/>
                <w:b/>
                <w:bCs/>
                <w:color w:val="auto"/>
                <w:kern w:val="0"/>
                <w:szCs w:val="21"/>
              </w:rPr>
              <w:t>具体内容</w:t>
            </w:r>
          </w:p>
        </w:tc>
      </w:tr>
      <w:tr w14:paraId="1793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33" w:type="dxa"/>
            <w:noWrap w:val="0"/>
            <w:vAlign w:val="center"/>
          </w:tcPr>
          <w:p w14:paraId="630C474F">
            <w:pPr>
              <w:adjustRightInd w:val="0"/>
              <w:spacing w:line="400" w:lineRule="exact"/>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w:t>
            </w:r>
            <w:r>
              <w:rPr>
                <w:rFonts w:ascii="宋体" w:hAnsi="宋体"/>
                <w:bCs/>
                <w:color w:val="auto"/>
                <w:kern w:val="0"/>
                <w:szCs w:val="21"/>
              </w:rPr>
              <w:t>.1</w:t>
            </w:r>
          </w:p>
        </w:tc>
        <w:tc>
          <w:tcPr>
            <w:tcW w:w="1418" w:type="dxa"/>
            <w:noWrap w:val="0"/>
            <w:vAlign w:val="center"/>
          </w:tcPr>
          <w:p w14:paraId="04CE8A17">
            <w:pPr>
              <w:adjustRightInd w:val="0"/>
              <w:spacing w:line="300" w:lineRule="exact"/>
              <w:jc w:val="left"/>
              <w:textAlignment w:val="baseline"/>
              <w:rPr>
                <w:rFonts w:ascii="宋体" w:hAnsi="宋体"/>
                <w:color w:val="auto"/>
                <w:szCs w:val="21"/>
              </w:rPr>
            </w:pPr>
            <w:r>
              <w:rPr>
                <w:rFonts w:hint="eastAsia" w:ascii="宋体" w:hAnsi="宋体"/>
                <w:color w:val="auto"/>
                <w:szCs w:val="21"/>
              </w:rPr>
              <w:t>技术性能分</w:t>
            </w:r>
          </w:p>
        </w:tc>
        <w:tc>
          <w:tcPr>
            <w:tcW w:w="6519" w:type="dxa"/>
            <w:noWrap w:val="0"/>
            <w:vAlign w:val="center"/>
          </w:tcPr>
          <w:p w14:paraId="49DED9B6">
            <w:pPr>
              <w:pStyle w:val="2"/>
              <w:spacing w:line="360" w:lineRule="auto"/>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w:t>
            </w:r>
            <w:r>
              <w:rPr>
                <w:rFonts w:hint="eastAsia" w:ascii="宋体" w:hAnsi="宋体"/>
                <w:bCs/>
                <w:color w:val="auto"/>
                <w:kern w:val="0"/>
                <w:szCs w:val="21"/>
              </w:rPr>
              <w:t>非</w:t>
            </w:r>
            <w:r>
              <w:rPr>
                <w:rFonts w:hint="eastAsia" w:ascii="宋体" w:hAnsi="宋体" w:cs="Courier New"/>
                <w:bCs/>
                <w:color w:val="auto"/>
                <w:kern w:val="0"/>
                <w:szCs w:val="21"/>
              </w:rPr>
              <w:t>实质性要求</w:t>
            </w:r>
            <w:r>
              <w:rPr>
                <w:rFonts w:hint="eastAsia" w:ascii="宋体" w:hAnsi="宋体"/>
                <w:bCs/>
                <w:color w:val="auto"/>
                <w:kern w:val="0"/>
                <w:szCs w:val="21"/>
              </w:rPr>
              <w:t>（未标注▲符号）</w:t>
            </w:r>
            <w:r>
              <w:rPr>
                <w:rFonts w:hint="eastAsia" w:ascii="宋体" w:hAnsi="宋体"/>
                <w:color w:val="auto"/>
                <w:kern w:val="0"/>
                <w:szCs w:val="21"/>
              </w:rPr>
              <w:t>的</w:t>
            </w:r>
            <w:r>
              <w:rPr>
                <w:rFonts w:hint="eastAsia" w:ascii="宋体" w:hAnsi="宋体"/>
                <w:bCs/>
                <w:color w:val="auto"/>
                <w:kern w:val="0"/>
                <w:szCs w:val="21"/>
              </w:rPr>
              <w:t>技术</w:t>
            </w:r>
            <w:r>
              <w:rPr>
                <w:rFonts w:hint="eastAsia" w:hAnsi="宋体"/>
                <w:bCs/>
                <w:color w:val="auto"/>
                <w:kern w:val="0"/>
                <w:szCs w:val="21"/>
                <w:lang w:val="en-US" w:eastAsia="zh-CN"/>
              </w:rPr>
              <w:t>功能</w:t>
            </w:r>
            <w:r>
              <w:rPr>
                <w:rFonts w:hint="eastAsia" w:ascii="宋体" w:hAnsi="宋体"/>
                <w:bCs/>
                <w:color w:val="auto"/>
                <w:kern w:val="0"/>
                <w:szCs w:val="21"/>
              </w:rPr>
              <w:t>要求有负偏离的，</w:t>
            </w:r>
            <w:r>
              <w:rPr>
                <w:rFonts w:hint="eastAsia" w:ascii="宋体" w:hAnsi="宋体" w:eastAsia="宋体" w:cs="Times New Roman"/>
                <w:color w:val="auto"/>
                <w:lang w:val="en-US" w:eastAsia="zh-CN"/>
              </w:rPr>
              <w:t>每负偏离一项扣2分。负偏离超过50%的技术条款，视为重大偏离，作无效投标处理</w:t>
            </w:r>
            <w:r>
              <w:rPr>
                <w:rFonts w:hint="eastAsia" w:hAnsi="宋体" w:cs="Times New Roman"/>
                <w:color w:val="auto"/>
                <w:lang w:val="en-US" w:eastAsia="zh-CN"/>
              </w:rPr>
              <w:t>。</w:t>
            </w:r>
          </w:p>
          <w:p w14:paraId="5919B565">
            <w:pPr>
              <w:pStyle w:val="2"/>
              <w:spacing w:line="360" w:lineRule="auto"/>
              <w:ind w:firstLine="420" w:firstLineChars="200"/>
              <w:rPr>
                <w:rFonts w:hint="default" w:hAnsi="宋体" w:cs="Times New Roman"/>
                <w:color w:val="auto"/>
                <w:lang w:val="en-US" w:eastAsia="zh-CN"/>
              </w:rPr>
            </w:pPr>
            <w:r>
              <w:rPr>
                <w:rFonts w:hint="eastAsia" w:ascii="宋体" w:hAnsi="宋体" w:eastAsia="宋体" w:cs="Times New Roman"/>
                <w:color w:val="auto"/>
                <w:lang w:val="en-US" w:eastAsia="zh-CN"/>
              </w:rPr>
              <w:t>2、</w:t>
            </w:r>
            <w:r>
              <w:rPr>
                <w:rFonts w:hint="eastAsia" w:ascii="宋体" w:hAnsi="宋体" w:eastAsia="宋体" w:cs="Times New Roman"/>
                <w:color w:val="auto"/>
              </w:rPr>
              <w:t>技术</w:t>
            </w:r>
            <w:r>
              <w:rPr>
                <w:rFonts w:hint="eastAsia" w:hAnsi="宋体"/>
                <w:bCs/>
                <w:color w:val="auto"/>
                <w:kern w:val="0"/>
                <w:szCs w:val="21"/>
                <w:lang w:val="en-US" w:eastAsia="zh-CN"/>
              </w:rPr>
              <w:t>功能</w:t>
            </w:r>
            <w:r>
              <w:rPr>
                <w:rFonts w:hint="eastAsia" w:ascii="宋体" w:hAnsi="宋体" w:eastAsia="宋体" w:cs="Times New Roman"/>
                <w:color w:val="auto"/>
              </w:rPr>
              <w:t>要求偏离表中带“▲”符号</w:t>
            </w:r>
            <w:r>
              <w:rPr>
                <w:rFonts w:hint="eastAsia" w:ascii="宋体" w:hAnsi="宋体" w:eastAsia="宋体" w:cs="Times New Roman"/>
                <w:color w:val="auto"/>
                <w:lang w:val="en-US" w:eastAsia="zh-CN"/>
              </w:rPr>
              <w:t>的投标</w:t>
            </w:r>
            <w:r>
              <w:rPr>
                <w:rFonts w:hint="eastAsia" w:ascii="宋体" w:hAnsi="宋体" w:eastAsia="宋体" w:cs="Times New Roman"/>
                <w:color w:val="auto"/>
              </w:rPr>
              <w:t>响应与</w:t>
            </w:r>
            <w:r>
              <w:rPr>
                <w:rFonts w:hint="eastAsia" w:ascii="宋体" w:hAnsi="宋体" w:eastAsia="宋体" w:cs="Times New Roman"/>
                <w:color w:val="auto"/>
                <w:lang w:val="en-US" w:eastAsia="zh-CN"/>
              </w:rPr>
              <w:t>平台演示的功能不一致的</w:t>
            </w:r>
            <w:r>
              <w:rPr>
                <w:rFonts w:hint="eastAsia" w:ascii="宋体" w:hAnsi="宋体" w:eastAsia="宋体" w:cs="Times New Roman"/>
                <w:color w:val="auto"/>
              </w:rPr>
              <w:t>，以</w:t>
            </w:r>
            <w:r>
              <w:rPr>
                <w:rFonts w:hint="eastAsia" w:ascii="宋体" w:hAnsi="宋体" w:eastAsia="宋体" w:cs="Times New Roman"/>
                <w:color w:val="auto"/>
                <w:lang w:val="en-US" w:eastAsia="zh-CN"/>
              </w:rPr>
              <w:t>平台演示的功能</w:t>
            </w:r>
            <w:r>
              <w:rPr>
                <w:rFonts w:hint="eastAsia" w:ascii="宋体" w:hAnsi="宋体" w:eastAsia="宋体" w:cs="Times New Roman"/>
                <w:color w:val="auto"/>
              </w:rPr>
              <w:t>为准</w:t>
            </w:r>
            <w:r>
              <w:rPr>
                <w:rFonts w:hint="eastAsia" w:hAnsi="宋体" w:cs="Times New Roman"/>
                <w:color w:val="auto"/>
                <w:lang w:eastAsia="zh-CN"/>
              </w:rPr>
              <w:t>，</w:t>
            </w:r>
            <w:r>
              <w:rPr>
                <w:rFonts w:hint="eastAsia" w:ascii="宋体" w:hAnsi="宋体" w:eastAsia="宋体" w:cs="Times New Roman"/>
                <w:color w:val="auto"/>
                <w:lang w:val="en-US" w:eastAsia="zh-CN"/>
              </w:rPr>
              <w:t>不满足一项扣</w:t>
            </w:r>
            <w:r>
              <w:rPr>
                <w:rFonts w:hint="eastAsia" w:hAnsi="宋体" w:cs="Times New Roman"/>
                <w:color w:val="auto"/>
                <w:lang w:val="en-US" w:eastAsia="zh-CN"/>
              </w:rPr>
              <w:t>4</w:t>
            </w:r>
            <w:r>
              <w:rPr>
                <w:rFonts w:hint="eastAsia" w:ascii="宋体" w:hAnsi="宋体" w:eastAsia="宋体" w:cs="Times New Roman"/>
                <w:color w:val="auto"/>
                <w:lang w:val="en-US" w:eastAsia="zh-CN"/>
              </w:rPr>
              <w:t>分</w:t>
            </w:r>
            <w:r>
              <w:rPr>
                <w:rFonts w:hint="eastAsia" w:hAnsi="宋体" w:cs="Times New Roman"/>
                <w:color w:val="auto"/>
                <w:lang w:val="en-US" w:eastAsia="zh-CN"/>
              </w:rPr>
              <w:t>。</w:t>
            </w:r>
          </w:p>
          <w:p w14:paraId="3B5AE2B8">
            <w:pPr>
              <w:pStyle w:val="2"/>
              <w:spacing w:line="360" w:lineRule="auto"/>
              <w:ind w:firstLine="420" w:firstLineChars="200"/>
              <w:rPr>
                <w:rFonts w:ascii="宋体" w:hAnsi="宋体" w:cs="Courier New"/>
                <w:b/>
                <w:color w:val="auto"/>
                <w:szCs w:val="21"/>
              </w:rPr>
            </w:pPr>
            <w:r>
              <w:rPr>
                <w:rFonts w:hint="eastAsia" w:ascii="宋体" w:hAnsi="宋体" w:eastAsia="宋体" w:cs="Times New Roman"/>
                <w:color w:val="auto"/>
                <w:lang w:val="en-US" w:eastAsia="zh-CN"/>
              </w:rPr>
              <w:t>满分2</w:t>
            </w:r>
            <w:r>
              <w:rPr>
                <w:rFonts w:hint="eastAsia" w:hAnsi="宋体" w:cs="Times New Roman"/>
                <w:color w:val="auto"/>
                <w:lang w:val="en-US" w:eastAsia="zh-CN"/>
              </w:rPr>
              <w:t>4</w:t>
            </w:r>
            <w:r>
              <w:rPr>
                <w:rFonts w:hint="eastAsia" w:ascii="宋体" w:hAnsi="宋体" w:eastAsia="宋体" w:cs="Times New Roman"/>
                <w:color w:val="auto"/>
                <w:lang w:val="en-US" w:eastAsia="zh-CN"/>
              </w:rPr>
              <w:t>分，扣完为止。</w:t>
            </w:r>
          </w:p>
        </w:tc>
        <w:tc>
          <w:tcPr>
            <w:tcW w:w="851" w:type="dxa"/>
            <w:noWrap w:val="0"/>
            <w:vAlign w:val="center"/>
          </w:tcPr>
          <w:p w14:paraId="6151B195">
            <w:pPr>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24</w:t>
            </w:r>
            <w:r>
              <w:rPr>
                <w:rFonts w:hint="eastAsia" w:ascii="宋体" w:hAnsi="宋体" w:cs="Tahoma"/>
                <w:color w:val="auto"/>
                <w:kern w:val="0"/>
                <w:szCs w:val="21"/>
              </w:rPr>
              <w:t>分</w:t>
            </w:r>
          </w:p>
        </w:tc>
      </w:tr>
      <w:tr w14:paraId="556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40A8A3E0">
            <w:pPr>
              <w:adjustRightInd w:val="0"/>
              <w:spacing w:line="400" w:lineRule="exact"/>
              <w:ind w:left="-105" w:leftChars="-50" w:right="-105" w:rightChars="-50"/>
              <w:jc w:val="center"/>
              <w:textAlignment w:val="baseline"/>
              <w:rPr>
                <w:rFonts w:hint="eastAsia" w:ascii="宋体" w:hAnsi="宋体"/>
                <w:bCs/>
                <w:color w:val="auto"/>
                <w:kern w:val="0"/>
                <w:szCs w:val="21"/>
              </w:rPr>
            </w:pPr>
            <w:r>
              <w:rPr>
                <w:rFonts w:hint="eastAsia" w:ascii="宋体" w:hAnsi="宋体"/>
                <w:bCs/>
                <w:color w:val="auto"/>
                <w:kern w:val="0"/>
                <w:szCs w:val="21"/>
              </w:rPr>
              <w:t>2.2</w:t>
            </w:r>
          </w:p>
        </w:tc>
        <w:tc>
          <w:tcPr>
            <w:tcW w:w="1418" w:type="dxa"/>
            <w:noWrap w:val="0"/>
            <w:vAlign w:val="center"/>
          </w:tcPr>
          <w:p w14:paraId="3E6E2F36">
            <w:pPr>
              <w:adjustRightInd w:val="0"/>
              <w:snapToGrid w:val="0"/>
              <w:spacing w:line="300" w:lineRule="exact"/>
              <w:jc w:val="left"/>
              <w:textAlignment w:val="baseline"/>
              <w:rPr>
                <w:rFonts w:ascii="宋体" w:hAnsi="宋体"/>
                <w:color w:val="auto"/>
                <w:szCs w:val="21"/>
              </w:rPr>
            </w:pPr>
            <w:r>
              <w:rPr>
                <w:rFonts w:hint="eastAsia" w:ascii="宋体" w:hAnsi="宋体" w:eastAsia="宋体" w:cs="Times New Roman"/>
                <w:color w:val="auto"/>
                <w:kern w:val="2"/>
                <w:sz w:val="21"/>
                <w:szCs w:val="21"/>
                <w:lang w:val="en-US" w:eastAsia="zh-CN" w:bidi="ar-SA"/>
              </w:rPr>
              <w:t>演示分</w:t>
            </w:r>
          </w:p>
        </w:tc>
        <w:tc>
          <w:tcPr>
            <w:tcW w:w="6519" w:type="dxa"/>
            <w:noWrap w:val="0"/>
            <w:vAlign w:val="top"/>
          </w:tcPr>
          <w:p w14:paraId="4AC1E20C">
            <w:pPr>
              <w:pStyle w:val="2"/>
              <w:spacing w:line="360" w:lineRule="auto"/>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lang w:val="en-US" w:eastAsia="zh-CN"/>
              </w:rPr>
              <w:t>评审专家评审时以评审小组向各供应商发起针对“智能健康管理系统” 带“▲”内容的视频演示，要求供应商提前准备好演示设备，每个供应商演示时长不超过20分钟</w:t>
            </w:r>
            <w:r>
              <w:rPr>
                <w:rFonts w:hint="eastAsia" w:hAnsi="宋体" w:cs="Times New Roman"/>
                <w:color w:val="auto"/>
                <w:sz w:val="21"/>
                <w:szCs w:val="21"/>
                <w:lang w:val="en-US" w:eastAsia="zh-CN"/>
              </w:rPr>
              <w:t>，</w:t>
            </w:r>
            <w:r>
              <w:rPr>
                <w:rFonts w:ascii="Segoe UI" w:hAnsi="Segoe UI" w:eastAsia="Segoe UI" w:cs="Segoe UI"/>
                <w:i w:val="0"/>
                <w:iCs w:val="0"/>
                <w:caps w:val="0"/>
                <w:color w:val="auto"/>
                <w:spacing w:val="0"/>
                <w:sz w:val="21"/>
                <w:szCs w:val="21"/>
                <w:shd w:val="clear" w:fill="FFFFFF"/>
              </w:rPr>
              <w:t>演示超时扣 3 分</w:t>
            </w:r>
            <w:r>
              <w:rPr>
                <w:rFonts w:hint="eastAsia" w:ascii="宋体" w:hAnsi="宋体" w:eastAsia="宋体" w:cs="Times New Roman"/>
                <w:color w:val="auto"/>
                <w:sz w:val="21"/>
                <w:szCs w:val="21"/>
                <w:lang w:val="en-US" w:eastAsia="zh-CN"/>
              </w:rPr>
              <w:t>。</w:t>
            </w:r>
          </w:p>
          <w:p w14:paraId="51CBA7CF">
            <w:pPr>
              <w:pStyle w:val="2"/>
              <w:spacing w:line="360" w:lineRule="auto"/>
              <w:ind w:firstLine="420" w:firstLineChars="200"/>
              <w:rPr>
                <w:rFonts w:ascii="宋体" w:hAnsi="宋体"/>
                <w:color w:val="auto"/>
                <w:szCs w:val="21"/>
              </w:rPr>
            </w:pPr>
            <w:r>
              <w:rPr>
                <w:rFonts w:ascii="Segoe UI" w:hAnsi="Segoe UI" w:eastAsia="Segoe UI" w:cs="Segoe UI"/>
                <w:i w:val="0"/>
                <w:iCs w:val="0"/>
                <w:caps w:val="0"/>
                <w:color w:val="auto"/>
                <w:spacing w:val="0"/>
                <w:sz w:val="21"/>
                <w:szCs w:val="21"/>
                <w:shd w:val="clear" w:fill="FFFFFF"/>
              </w:rPr>
              <w:t>每项功能完全满足</w:t>
            </w:r>
            <w:r>
              <w:rPr>
                <w:rFonts w:hint="eastAsia" w:ascii="Segoe UI" w:hAnsi="Segoe UI" w:eastAsia="宋体" w:cs="Segoe UI"/>
                <w:i w:val="0"/>
                <w:iCs w:val="0"/>
                <w:caps w:val="0"/>
                <w:color w:val="auto"/>
                <w:spacing w:val="0"/>
                <w:sz w:val="21"/>
                <w:szCs w:val="21"/>
                <w:shd w:val="clear" w:fill="FFFFFF"/>
                <w:lang w:eastAsia="zh-CN"/>
              </w:rPr>
              <w:t>（</w:t>
            </w:r>
            <w:r>
              <w:rPr>
                <w:rFonts w:ascii="Segoe UI" w:hAnsi="Segoe UI" w:eastAsia="Segoe UI" w:cs="Segoe UI"/>
                <w:i w:val="0"/>
                <w:iCs w:val="0"/>
                <w:caps w:val="0"/>
                <w:color w:val="auto"/>
                <w:spacing w:val="0"/>
                <w:sz w:val="21"/>
                <w:szCs w:val="21"/>
                <w:shd w:val="clear" w:fill="FFFFFF"/>
              </w:rPr>
              <w:t>部分满足</w:t>
            </w:r>
            <w:r>
              <w:rPr>
                <w:rFonts w:hint="eastAsia" w:ascii="Segoe UI" w:hAnsi="Segoe UI" w:eastAsia="宋体" w:cs="Segoe UI"/>
                <w:i w:val="0"/>
                <w:iCs w:val="0"/>
                <w:caps w:val="0"/>
                <w:color w:val="auto"/>
                <w:spacing w:val="0"/>
                <w:sz w:val="21"/>
                <w:szCs w:val="21"/>
                <w:shd w:val="clear" w:fill="FFFFFF"/>
                <w:lang w:val="en-US" w:eastAsia="zh-CN"/>
              </w:rPr>
              <w:t>或</w:t>
            </w:r>
            <w:r>
              <w:rPr>
                <w:rFonts w:ascii="Segoe UI" w:hAnsi="Segoe UI" w:eastAsia="Segoe UI" w:cs="Segoe UI"/>
                <w:i w:val="0"/>
                <w:iCs w:val="0"/>
                <w:caps w:val="0"/>
                <w:color w:val="auto"/>
                <w:spacing w:val="0"/>
                <w:sz w:val="21"/>
                <w:szCs w:val="21"/>
                <w:shd w:val="clear" w:fill="FFFFFF"/>
              </w:rPr>
              <w:t>不满足得 0 分</w:t>
            </w:r>
            <w:r>
              <w:rPr>
                <w:rFonts w:hint="eastAsia" w:ascii="Segoe UI" w:hAnsi="Segoe UI" w:eastAsia="宋体" w:cs="Segoe UI"/>
                <w:i w:val="0"/>
                <w:iCs w:val="0"/>
                <w:caps w:val="0"/>
                <w:color w:val="auto"/>
                <w:spacing w:val="0"/>
                <w:sz w:val="21"/>
                <w:szCs w:val="21"/>
                <w:shd w:val="clear" w:fill="FFFFFF"/>
                <w:lang w:eastAsia="zh-CN"/>
              </w:rPr>
              <w:t>）</w:t>
            </w:r>
            <w:r>
              <w:rPr>
                <w:rFonts w:ascii="Segoe UI" w:hAnsi="Segoe UI" w:eastAsia="Segoe UI" w:cs="Segoe UI"/>
                <w:i w:val="0"/>
                <w:iCs w:val="0"/>
                <w:caps w:val="0"/>
                <w:color w:val="auto"/>
                <w:spacing w:val="0"/>
                <w:sz w:val="21"/>
                <w:szCs w:val="21"/>
                <w:shd w:val="clear" w:fill="FFFFFF"/>
              </w:rPr>
              <w:t>招标文件要求</w:t>
            </w:r>
            <w:r>
              <w:rPr>
                <w:rFonts w:hint="eastAsia" w:ascii="Segoe UI" w:hAnsi="Segoe UI" w:eastAsia="Segoe UI" w:cs="Segoe UI"/>
                <w:i w:val="0"/>
                <w:iCs w:val="0"/>
                <w:caps w:val="0"/>
                <w:color w:val="auto"/>
                <w:spacing w:val="0"/>
                <w:sz w:val="21"/>
                <w:szCs w:val="21"/>
                <w:shd w:val="clear" w:fill="FFFFFF"/>
                <w:lang w:val="en-US" w:eastAsia="zh-CN"/>
              </w:rPr>
              <w:t>且提供有加盖公章的清晰的功能截图</w:t>
            </w:r>
            <w:r>
              <w:rPr>
                <w:rFonts w:ascii="Segoe UI" w:hAnsi="Segoe UI" w:eastAsia="Segoe UI" w:cs="Segoe UI"/>
                <w:i w:val="0"/>
                <w:iCs w:val="0"/>
                <w:caps w:val="0"/>
                <w:color w:val="auto"/>
                <w:spacing w:val="0"/>
                <w:sz w:val="21"/>
                <w:szCs w:val="21"/>
                <w:shd w:val="clear" w:fill="FFFFFF"/>
              </w:rPr>
              <w:t>得 1 分，</w:t>
            </w:r>
            <w:r>
              <w:rPr>
                <w:rFonts w:hint="eastAsia" w:ascii="Segoe UI" w:hAnsi="Segoe UI" w:eastAsia="Segoe UI" w:cs="Segoe UI"/>
                <w:i w:val="0"/>
                <w:iCs w:val="0"/>
                <w:caps w:val="0"/>
                <w:color w:val="auto"/>
                <w:spacing w:val="0"/>
                <w:sz w:val="21"/>
                <w:szCs w:val="21"/>
                <w:shd w:val="clear" w:fill="FFFFFF"/>
                <w:lang w:val="en-US" w:eastAsia="zh-CN"/>
              </w:rPr>
              <w:t>满分10分</w:t>
            </w:r>
            <w:r>
              <w:rPr>
                <w:rFonts w:ascii="Segoe UI" w:hAnsi="Segoe UI" w:eastAsia="Segoe UI" w:cs="Segoe UI"/>
                <w:i w:val="0"/>
                <w:iCs w:val="0"/>
                <w:caps w:val="0"/>
                <w:color w:val="auto"/>
                <w:spacing w:val="0"/>
                <w:sz w:val="21"/>
                <w:szCs w:val="21"/>
                <w:shd w:val="clear" w:fill="FFFFFF"/>
              </w:rPr>
              <w:t>；</w:t>
            </w:r>
            <w:r>
              <w:rPr>
                <w:rFonts w:hint="eastAsia" w:ascii="宋体" w:hAnsi="宋体" w:eastAsia="宋体" w:cs="Times New Roman"/>
                <w:color w:val="auto"/>
                <w:lang w:val="en-US" w:eastAsia="zh-CN"/>
              </w:rPr>
              <w:t>本次演示须为投标人自有或获得合法授权的软件产品，现场演示需登录真实</w:t>
            </w:r>
            <w:r>
              <w:rPr>
                <w:rFonts w:hint="eastAsia" w:hAnsi="宋体" w:cs="Times New Roman"/>
                <w:color w:val="auto"/>
                <w:lang w:val="en-US" w:eastAsia="zh-CN"/>
              </w:rPr>
              <w:t>或DEMO</w:t>
            </w:r>
            <w:r>
              <w:rPr>
                <w:rFonts w:hint="eastAsia" w:ascii="宋体" w:hAnsi="宋体" w:eastAsia="宋体" w:cs="Times New Roman"/>
                <w:color w:val="auto"/>
                <w:lang w:val="en-US" w:eastAsia="zh-CN"/>
              </w:rPr>
              <w:t>系统，不演示或提供PPT方式演示计0分。</w:t>
            </w:r>
          </w:p>
        </w:tc>
        <w:tc>
          <w:tcPr>
            <w:tcW w:w="851" w:type="dxa"/>
            <w:noWrap w:val="0"/>
            <w:vAlign w:val="center"/>
          </w:tcPr>
          <w:p w14:paraId="077FEDD9">
            <w:pPr>
              <w:spacing w:line="400" w:lineRule="exact"/>
              <w:jc w:val="center"/>
              <w:rPr>
                <w:rFonts w:hint="eastAsia" w:ascii="宋体" w:hAnsi="宋体" w:cs="Tahoma"/>
                <w:color w:val="auto"/>
                <w:kern w:val="0"/>
                <w:szCs w:val="21"/>
              </w:rPr>
            </w:pPr>
            <w:r>
              <w:rPr>
                <w:rFonts w:hint="eastAsia" w:ascii="宋体" w:hAnsi="宋体" w:cs="Tahoma"/>
                <w:color w:val="auto"/>
                <w:kern w:val="0"/>
                <w:szCs w:val="21"/>
              </w:rPr>
              <w:t>1</w:t>
            </w:r>
            <w:r>
              <w:rPr>
                <w:rFonts w:hint="eastAsia" w:ascii="宋体" w:hAnsi="宋体" w:cs="Tahoma"/>
                <w:color w:val="auto"/>
                <w:kern w:val="0"/>
                <w:szCs w:val="21"/>
                <w:lang w:val="en-US" w:eastAsia="zh-CN"/>
              </w:rPr>
              <w:t>0</w:t>
            </w:r>
            <w:r>
              <w:rPr>
                <w:rFonts w:hint="eastAsia" w:ascii="宋体" w:hAnsi="宋体"/>
                <w:color w:val="auto"/>
                <w:szCs w:val="21"/>
              </w:rPr>
              <w:t>分</w:t>
            </w:r>
          </w:p>
        </w:tc>
      </w:tr>
      <w:tr w14:paraId="0DE1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25C855F3">
            <w:pPr>
              <w:adjustRightInd w:val="0"/>
              <w:spacing w:line="400" w:lineRule="exact"/>
              <w:ind w:left="-105" w:leftChars="-50" w:right="-105" w:rightChars="-50"/>
              <w:jc w:val="center"/>
              <w:textAlignment w:val="baseline"/>
              <w:rPr>
                <w:rFonts w:hint="eastAsia" w:ascii="宋体" w:hAnsi="宋体"/>
                <w:bCs/>
                <w:color w:val="auto"/>
                <w:kern w:val="0"/>
                <w:szCs w:val="21"/>
              </w:rPr>
            </w:pPr>
            <w:r>
              <w:rPr>
                <w:rFonts w:hint="eastAsia" w:ascii="宋体" w:hAnsi="宋体"/>
                <w:bCs/>
                <w:color w:val="auto"/>
                <w:kern w:val="0"/>
                <w:szCs w:val="21"/>
              </w:rPr>
              <w:t>2.3</w:t>
            </w:r>
          </w:p>
        </w:tc>
        <w:tc>
          <w:tcPr>
            <w:tcW w:w="1418" w:type="dxa"/>
            <w:noWrap w:val="0"/>
            <w:vAlign w:val="center"/>
          </w:tcPr>
          <w:p w14:paraId="764FD39C">
            <w:pPr>
              <w:adjustRightInd w:val="0"/>
              <w:spacing w:line="300" w:lineRule="exact"/>
              <w:jc w:val="left"/>
              <w:textAlignment w:val="baseline"/>
              <w:rPr>
                <w:rFonts w:hint="eastAsia" w:ascii="宋体" w:hAnsi="宋体" w:eastAsia="宋体"/>
                <w:color w:val="auto"/>
                <w:szCs w:val="21"/>
                <w:lang w:val="en-US" w:eastAsia="zh-CN"/>
              </w:rPr>
            </w:pPr>
            <w:r>
              <w:rPr>
                <w:rFonts w:hint="eastAsia" w:ascii="宋体" w:hAnsi="宋体"/>
                <w:color w:val="auto"/>
                <w:szCs w:val="21"/>
                <w:lang w:val="en-US" w:eastAsia="zh-CN"/>
              </w:rPr>
              <w:t>系统</w:t>
            </w:r>
            <w:r>
              <w:rPr>
                <w:rFonts w:hint="eastAsia" w:ascii="宋体" w:hAnsi="宋体"/>
                <w:color w:val="auto"/>
                <w:szCs w:val="21"/>
              </w:rPr>
              <w:t>设计方案</w:t>
            </w:r>
            <w:r>
              <w:rPr>
                <w:rFonts w:hint="eastAsia" w:ascii="宋体" w:hAnsi="宋体"/>
                <w:color w:val="auto"/>
                <w:szCs w:val="21"/>
                <w:lang w:val="en-US" w:eastAsia="zh-CN"/>
              </w:rPr>
              <w:t>分</w:t>
            </w:r>
          </w:p>
        </w:tc>
        <w:tc>
          <w:tcPr>
            <w:tcW w:w="6519" w:type="dxa"/>
            <w:noWrap w:val="0"/>
            <w:vAlign w:val="top"/>
          </w:tcPr>
          <w:p w14:paraId="37C1F74E">
            <w:pPr>
              <w:pStyle w:val="2"/>
              <w:spacing w:line="360" w:lineRule="auto"/>
              <w:ind w:firstLine="420" w:firstLineChars="200"/>
              <w:rPr>
                <w:rFonts w:hint="eastAsia" w:hAnsi="宋体"/>
                <w:color w:val="auto"/>
              </w:rPr>
            </w:pPr>
            <w:r>
              <w:rPr>
                <w:rFonts w:hint="eastAsia" w:hAnsi="宋体"/>
                <w:color w:val="auto"/>
              </w:rPr>
              <w:t>一档</w:t>
            </w:r>
            <w:r>
              <w:rPr>
                <w:rFonts w:hint="eastAsia" w:hAnsi="宋体"/>
                <w:color w:val="auto"/>
                <w:lang w:val="en-US" w:eastAsia="zh-CN"/>
              </w:rPr>
              <w:t>1</w:t>
            </w:r>
            <w:r>
              <w:rPr>
                <w:rFonts w:hint="eastAsia" w:hAnsi="宋体"/>
                <w:color w:val="auto"/>
              </w:rPr>
              <w:t>分：</w:t>
            </w:r>
            <w:r>
              <w:rPr>
                <w:rFonts w:hint="eastAsia" w:ascii="宋体" w:hAnsi="宋体"/>
                <w:color w:val="auto"/>
                <w:szCs w:val="21"/>
              </w:rPr>
              <w:t>项目</w:t>
            </w:r>
            <w:r>
              <w:rPr>
                <w:rFonts w:hAnsi="宋体"/>
                <w:color w:val="auto"/>
              </w:rPr>
              <w:t>整体设计方案描述简单或不清晰，</w:t>
            </w:r>
            <w:r>
              <w:rPr>
                <w:rFonts w:hint="eastAsia" w:ascii="Calibri" w:hAnsi="Calibri"/>
                <w:color w:val="auto"/>
                <w:szCs w:val="22"/>
              </w:rPr>
              <w:t>对建设目标内容的理解程度不深</w:t>
            </w:r>
            <w:r>
              <w:rPr>
                <w:rFonts w:hint="eastAsia" w:ascii="Calibri" w:hAnsi="Calibri"/>
                <w:color w:val="auto"/>
                <w:szCs w:val="22"/>
                <w:lang w:eastAsia="zh-CN"/>
              </w:rPr>
              <w:t>，</w:t>
            </w:r>
            <w:r>
              <w:rPr>
                <w:rFonts w:hAnsi="宋体"/>
                <w:color w:val="auto"/>
              </w:rPr>
              <w:t>未能清晰表达采购所需系统的整体设计</w:t>
            </w:r>
            <w:r>
              <w:rPr>
                <w:rFonts w:hint="eastAsia" w:hAnsi="宋体"/>
                <w:color w:val="auto"/>
              </w:rPr>
              <w:t>。</w:t>
            </w:r>
          </w:p>
          <w:p w14:paraId="0A10AB05">
            <w:pPr>
              <w:pStyle w:val="2"/>
              <w:spacing w:line="360" w:lineRule="auto"/>
              <w:ind w:firstLine="420" w:firstLineChars="200"/>
              <w:rPr>
                <w:rFonts w:hint="eastAsia" w:hAnsi="宋体"/>
                <w:color w:val="auto"/>
              </w:rPr>
            </w:pPr>
            <w:r>
              <w:rPr>
                <w:rFonts w:hint="eastAsia" w:hAnsi="宋体"/>
                <w:color w:val="auto"/>
              </w:rPr>
              <w:t>二档</w:t>
            </w:r>
            <w:r>
              <w:rPr>
                <w:rFonts w:hint="eastAsia" w:hAnsi="宋体"/>
                <w:color w:val="auto"/>
                <w:lang w:val="en-US" w:eastAsia="zh-CN"/>
              </w:rPr>
              <w:t>5</w:t>
            </w:r>
            <w:r>
              <w:rPr>
                <w:rFonts w:hint="eastAsia" w:hAnsi="宋体"/>
                <w:color w:val="auto"/>
              </w:rPr>
              <w:t>分：</w:t>
            </w:r>
            <w:r>
              <w:rPr>
                <w:rFonts w:hint="eastAsia" w:ascii="宋体" w:hAnsi="宋体"/>
                <w:color w:val="auto"/>
                <w:szCs w:val="21"/>
              </w:rPr>
              <w:t>项目</w:t>
            </w:r>
            <w:r>
              <w:rPr>
                <w:rFonts w:hAnsi="宋体"/>
                <w:color w:val="auto"/>
              </w:rPr>
              <w:t>整体设计方案较详细，方案能够详细描述整体架构、功能结构、设计思路等</w:t>
            </w:r>
            <w:r>
              <w:rPr>
                <w:rFonts w:hint="eastAsia" w:hAnsi="宋体"/>
                <w:color w:val="auto"/>
              </w:rPr>
              <w:t>，</w:t>
            </w:r>
            <w:r>
              <w:rPr>
                <w:rFonts w:hAnsi="宋体"/>
                <w:color w:val="auto"/>
              </w:rPr>
              <w:t>基本体现采购所需系统的整体设计</w:t>
            </w:r>
            <w:r>
              <w:rPr>
                <w:rFonts w:hint="eastAsia" w:hAnsi="宋体"/>
                <w:color w:val="auto"/>
              </w:rPr>
              <w:t>。</w:t>
            </w:r>
          </w:p>
          <w:p w14:paraId="45D7B886">
            <w:pPr>
              <w:pStyle w:val="2"/>
              <w:spacing w:line="360" w:lineRule="auto"/>
              <w:ind w:firstLine="420" w:firstLineChars="200"/>
              <w:rPr>
                <w:rFonts w:hAnsi="宋体"/>
                <w:color w:val="auto"/>
              </w:rPr>
            </w:pPr>
            <w:r>
              <w:rPr>
                <w:rFonts w:hint="eastAsia" w:hAnsi="宋体"/>
                <w:color w:val="auto"/>
              </w:rPr>
              <w:t>三档</w:t>
            </w:r>
            <w:r>
              <w:rPr>
                <w:rFonts w:hint="eastAsia" w:hAnsi="宋体"/>
                <w:color w:val="auto"/>
                <w:lang w:val="en-US" w:eastAsia="zh-CN"/>
              </w:rPr>
              <w:t>10</w:t>
            </w:r>
            <w:r>
              <w:rPr>
                <w:rFonts w:hint="eastAsia" w:hAnsi="宋体"/>
                <w:color w:val="auto"/>
              </w:rPr>
              <w:t>分：</w:t>
            </w:r>
            <w:r>
              <w:rPr>
                <w:rFonts w:hint="eastAsia" w:ascii="宋体" w:hAnsi="宋体"/>
                <w:color w:val="auto"/>
                <w:szCs w:val="21"/>
              </w:rPr>
              <w:t>项目</w:t>
            </w:r>
            <w:r>
              <w:rPr>
                <w:rFonts w:hAnsi="宋体"/>
                <w:color w:val="auto"/>
              </w:rPr>
              <w:t>整体设计方案结构清晰、科学合理，方案能够详细描述</w:t>
            </w:r>
            <w:r>
              <w:rPr>
                <w:rFonts w:hint="eastAsia" w:hAnsi="宋体"/>
                <w:color w:val="auto"/>
                <w:lang w:val="en-US" w:eastAsia="zh-CN"/>
              </w:rPr>
              <w:t>系统</w:t>
            </w:r>
            <w:r>
              <w:rPr>
                <w:rFonts w:hAnsi="宋体"/>
                <w:color w:val="auto"/>
              </w:rPr>
              <w:t>整体架构、</w:t>
            </w:r>
            <w:r>
              <w:rPr>
                <w:rFonts w:hint="eastAsia" w:hAnsi="宋体"/>
                <w:color w:val="auto"/>
                <w:lang w:val="en-US" w:eastAsia="zh-CN"/>
              </w:rPr>
              <w:t>技术结构</w:t>
            </w:r>
            <w:r>
              <w:rPr>
                <w:rFonts w:hAnsi="宋体"/>
                <w:color w:val="auto"/>
              </w:rPr>
              <w:t>、功能结构、设计思</w:t>
            </w:r>
            <w:r>
              <w:rPr>
                <w:rFonts w:hAnsi="宋体"/>
                <w:color w:val="auto"/>
              </w:rPr>
              <w:t>路</w:t>
            </w:r>
            <w:r>
              <w:rPr>
                <w:rFonts w:hint="eastAsia" w:hAnsi="宋体"/>
                <w:color w:val="auto"/>
                <w:lang w:eastAsia="zh-CN"/>
              </w:rPr>
              <w:t>、</w:t>
            </w:r>
            <w:r>
              <w:rPr>
                <w:rFonts w:hint="eastAsia" w:hAnsi="宋体"/>
                <w:color w:val="auto"/>
                <w:lang w:val="en-US" w:eastAsia="zh-CN"/>
              </w:rPr>
              <w:t>数据互通、灾备设计</w:t>
            </w:r>
            <w:r>
              <w:rPr>
                <w:rFonts w:hAnsi="宋体"/>
                <w:color w:val="auto"/>
              </w:rPr>
              <w:t>等</w:t>
            </w:r>
            <w:r>
              <w:rPr>
                <w:rFonts w:hint="eastAsia" w:hAnsi="宋体"/>
                <w:color w:val="auto"/>
              </w:rPr>
              <w:t>，数据库规划有详细的数据类型说明，能够清晰描述应用、网络、安全的建设方案，</w:t>
            </w:r>
            <w:r>
              <w:rPr>
                <w:rFonts w:hint="eastAsia" w:hAnsi="宋体"/>
                <w:color w:val="auto"/>
                <w:lang w:val="en-US" w:eastAsia="zh-CN"/>
              </w:rPr>
              <w:t>方案</w:t>
            </w:r>
            <w:r>
              <w:rPr>
                <w:rFonts w:hint="eastAsia" w:hAnsi="宋体"/>
                <w:color w:val="auto"/>
              </w:rPr>
              <w:t>能够</w:t>
            </w:r>
            <w:r>
              <w:rPr>
                <w:rFonts w:hint="eastAsia" w:hAnsi="宋体"/>
                <w:color w:val="auto"/>
                <w:lang w:val="en-US" w:eastAsia="zh-CN"/>
              </w:rPr>
              <w:t>符合</w:t>
            </w:r>
            <w:r>
              <w:rPr>
                <w:rFonts w:hint="eastAsia" w:hAnsi="宋体"/>
                <w:color w:val="auto"/>
              </w:rPr>
              <w:t>采购人</w:t>
            </w:r>
            <w:r>
              <w:rPr>
                <w:rFonts w:hint="eastAsia" w:hAnsi="宋体"/>
                <w:color w:val="auto"/>
                <w:lang w:val="en-US" w:eastAsia="zh-CN"/>
              </w:rPr>
              <w:t>智能健康管理</w:t>
            </w:r>
            <w:r>
              <w:rPr>
                <w:rFonts w:hint="eastAsia" w:hAnsi="宋体"/>
                <w:color w:val="auto"/>
              </w:rPr>
              <w:t>平台建设</w:t>
            </w:r>
            <w:r>
              <w:rPr>
                <w:rFonts w:hint="eastAsia" w:hAnsi="宋体"/>
                <w:color w:val="auto"/>
                <w:lang w:val="en-US" w:eastAsia="zh-CN"/>
              </w:rPr>
              <w:t>的实际需求</w:t>
            </w:r>
            <w:r>
              <w:rPr>
                <w:rFonts w:hint="eastAsia" w:hAnsi="宋体"/>
                <w:color w:val="auto"/>
              </w:rPr>
              <w:t>，</w:t>
            </w:r>
            <w:r>
              <w:rPr>
                <w:rFonts w:hAnsi="宋体"/>
                <w:color w:val="auto"/>
              </w:rPr>
              <w:t>充分体现采购所需的整体系统情况。</w:t>
            </w:r>
          </w:p>
          <w:p w14:paraId="50D31427">
            <w:pPr>
              <w:pStyle w:val="2"/>
              <w:spacing w:line="360" w:lineRule="auto"/>
              <w:ind w:firstLine="420" w:firstLineChars="200"/>
              <w:rPr>
                <w:rFonts w:hint="eastAsia" w:hAnsi="宋体"/>
                <w:color w:val="auto"/>
              </w:rPr>
            </w:pPr>
            <w:r>
              <w:rPr>
                <w:rFonts w:hint="eastAsia" w:hAnsi="宋体"/>
                <w:color w:val="auto"/>
                <w:lang w:val="en-US" w:eastAsia="zh-CN"/>
              </w:rPr>
              <w:t>四</w:t>
            </w:r>
            <w:r>
              <w:rPr>
                <w:rFonts w:hint="eastAsia" w:hAnsi="宋体"/>
                <w:color w:val="auto"/>
              </w:rPr>
              <w:t>档</w:t>
            </w:r>
            <w:r>
              <w:rPr>
                <w:rFonts w:hint="eastAsia" w:hAnsi="宋体"/>
                <w:color w:val="auto"/>
                <w:lang w:val="en-US" w:eastAsia="zh-CN"/>
              </w:rPr>
              <w:t>15</w:t>
            </w:r>
            <w:r>
              <w:rPr>
                <w:rFonts w:hint="eastAsia" w:hAnsi="宋体"/>
                <w:color w:val="auto"/>
              </w:rPr>
              <w:t>分：</w:t>
            </w:r>
            <w:r>
              <w:rPr>
                <w:rFonts w:hint="eastAsia" w:hAnsi="宋体"/>
                <w:color w:val="auto"/>
                <w:lang w:val="en-US" w:eastAsia="zh-CN"/>
              </w:rPr>
              <w:t>在满足三档所有要求的基础上，设计方案具备更高的创新性和实用性。不仅完全贴合采购人的功能需求，还额外提供了更为先进、高效的技术解决方案。</w:t>
            </w:r>
          </w:p>
        </w:tc>
        <w:tc>
          <w:tcPr>
            <w:tcW w:w="851" w:type="dxa"/>
            <w:noWrap w:val="0"/>
            <w:vAlign w:val="center"/>
          </w:tcPr>
          <w:p w14:paraId="05C18DA8">
            <w:pPr>
              <w:spacing w:line="400" w:lineRule="exact"/>
              <w:jc w:val="center"/>
              <w:rPr>
                <w:rFonts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分</w:t>
            </w:r>
          </w:p>
        </w:tc>
      </w:tr>
      <w:tr w14:paraId="5246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765E6E49">
            <w:pPr>
              <w:adjustRightInd w:val="0"/>
              <w:spacing w:line="400" w:lineRule="exact"/>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2.4</w:t>
            </w:r>
          </w:p>
        </w:tc>
        <w:tc>
          <w:tcPr>
            <w:tcW w:w="1418" w:type="dxa"/>
            <w:noWrap w:val="0"/>
            <w:vAlign w:val="center"/>
          </w:tcPr>
          <w:p w14:paraId="40558AF1">
            <w:pPr>
              <w:spacing w:line="300" w:lineRule="exact"/>
              <w:rPr>
                <w:rFonts w:ascii="宋体" w:hAnsi="宋体" w:cs="Courier New"/>
                <w:bCs/>
                <w:color w:val="auto"/>
                <w:kern w:val="0"/>
                <w:szCs w:val="21"/>
              </w:rPr>
            </w:pPr>
            <w:r>
              <w:rPr>
                <w:rFonts w:hint="eastAsia" w:ascii="宋体" w:hAnsi="宋体" w:cs="Courier New"/>
                <w:bCs/>
                <w:color w:val="auto"/>
                <w:kern w:val="0"/>
                <w:szCs w:val="21"/>
              </w:rPr>
              <w:t>实施方案分</w:t>
            </w:r>
          </w:p>
        </w:tc>
        <w:tc>
          <w:tcPr>
            <w:tcW w:w="6519" w:type="dxa"/>
            <w:noWrap w:val="0"/>
            <w:vAlign w:val="center"/>
          </w:tcPr>
          <w:p w14:paraId="65E3B8C5">
            <w:pPr>
              <w:pStyle w:val="2"/>
              <w:spacing w:line="360" w:lineRule="auto"/>
              <w:ind w:firstLine="420" w:firstLineChars="200"/>
              <w:rPr>
                <w:rFonts w:hAnsi="宋体"/>
                <w:color w:val="auto"/>
              </w:rPr>
            </w:pPr>
            <w:r>
              <w:rPr>
                <w:rFonts w:hint="eastAsia" w:hAnsi="宋体"/>
                <w:color w:val="auto"/>
              </w:rPr>
              <w:t>一档</w:t>
            </w:r>
            <w:r>
              <w:rPr>
                <w:rFonts w:hint="eastAsia" w:hAnsi="宋体"/>
                <w:color w:val="auto"/>
                <w:lang w:val="en-US" w:eastAsia="zh-CN"/>
              </w:rPr>
              <w:t>1</w:t>
            </w:r>
            <w:r>
              <w:rPr>
                <w:rFonts w:hint="eastAsia" w:hAnsi="宋体"/>
                <w:color w:val="auto"/>
              </w:rPr>
              <w:t>分：实施方案较简单粗略，有质量保证措施，但不详细，</w:t>
            </w:r>
            <w:r>
              <w:rPr>
                <w:rFonts w:hint="eastAsia" w:hAnsi="宋体"/>
                <w:color w:val="auto"/>
                <w:lang w:val="en-US" w:eastAsia="zh-CN"/>
              </w:rPr>
              <w:t>资源</w:t>
            </w:r>
            <w:r>
              <w:rPr>
                <w:rFonts w:hint="eastAsia" w:hAnsi="宋体"/>
                <w:color w:val="auto"/>
              </w:rPr>
              <w:t>投入基本满足项目要求。</w:t>
            </w:r>
          </w:p>
          <w:p w14:paraId="2BF6FD4C">
            <w:pPr>
              <w:pStyle w:val="2"/>
              <w:spacing w:line="360" w:lineRule="auto"/>
              <w:ind w:firstLine="420" w:firstLineChars="200"/>
              <w:rPr>
                <w:rFonts w:hAnsi="宋体"/>
                <w:color w:val="auto"/>
              </w:rPr>
            </w:pPr>
            <w:r>
              <w:rPr>
                <w:rFonts w:hint="eastAsia" w:hAnsi="宋体"/>
                <w:color w:val="auto"/>
              </w:rPr>
              <w:t>二档</w:t>
            </w:r>
            <w:r>
              <w:rPr>
                <w:rFonts w:hint="eastAsia" w:hAnsi="宋体"/>
                <w:color w:val="auto"/>
                <w:lang w:val="en-US" w:eastAsia="zh-CN"/>
              </w:rPr>
              <w:t>5</w:t>
            </w:r>
            <w:r>
              <w:rPr>
                <w:rFonts w:hint="eastAsia" w:hAnsi="宋体"/>
                <w:color w:val="auto"/>
              </w:rPr>
              <w:t>分：实施方案较具体，有较详细的质量保证措施，</w:t>
            </w:r>
            <w:r>
              <w:rPr>
                <w:rFonts w:hint="eastAsia" w:hAnsi="宋体"/>
                <w:color w:val="auto"/>
                <w:lang w:val="en-US" w:eastAsia="zh-CN"/>
              </w:rPr>
              <w:t>资源</w:t>
            </w:r>
            <w:r>
              <w:rPr>
                <w:rFonts w:hint="eastAsia" w:hAnsi="宋体"/>
                <w:color w:val="auto"/>
              </w:rPr>
              <w:t>投入较到位，项目进度有保证。</w:t>
            </w:r>
          </w:p>
          <w:p w14:paraId="3F515145">
            <w:pPr>
              <w:pStyle w:val="2"/>
              <w:spacing w:line="360" w:lineRule="auto"/>
              <w:ind w:firstLine="420" w:firstLineChars="200"/>
              <w:rPr>
                <w:rFonts w:hint="eastAsia" w:ascii="宋体" w:hAnsi="宋体" w:eastAsia="宋体" w:cs="Courier New"/>
                <w:bCs/>
                <w:color w:val="auto"/>
                <w:kern w:val="0"/>
                <w:szCs w:val="21"/>
                <w:lang w:eastAsia="zh-CN"/>
              </w:rPr>
            </w:pPr>
            <w:r>
              <w:rPr>
                <w:rFonts w:hint="eastAsia" w:hAnsi="宋体"/>
                <w:color w:val="auto"/>
              </w:rPr>
              <w:t>三档</w:t>
            </w:r>
            <w:r>
              <w:rPr>
                <w:rFonts w:hint="eastAsia" w:hAnsi="宋体"/>
                <w:color w:val="auto"/>
                <w:lang w:val="en-US" w:eastAsia="zh-CN"/>
              </w:rPr>
              <w:t>9</w:t>
            </w:r>
            <w:r>
              <w:rPr>
                <w:rFonts w:hint="eastAsia" w:hAnsi="宋体"/>
                <w:color w:val="auto"/>
              </w:rPr>
              <w:t>分：实施方案详细具体，整体规划针对性强，项目组织和</w:t>
            </w:r>
            <w:r>
              <w:rPr>
                <w:rFonts w:hint="eastAsia" w:hAnsi="宋体"/>
                <w:color w:val="auto"/>
                <w:lang w:val="en-US" w:eastAsia="zh-CN"/>
              </w:rPr>
              <w:t>项目</w:t>
            </w:r>
            <w:r>
              <w:rPr>
                <w:rFonts w:hint="eastAsia" w:ascii="宋体" w:hAnsi="宋体" w:eastAsia="宋体" w:cs="Times New Roman"/>
                <w:color w:val="auto"/>
                <w:lang w:val="en-US" w:eastAsia="zh-CN"/>
              </w:rPr>
              <w:t>管理有序，资源投入到位有保证，有备件保障和支持体系，项目实施风险控制方法可行，服务流程及内容具体，响应时间迅速，配备专业服务团队。</w:t>
            </w:r>
          </w:p>
        </w:tc>
        <w:tc>
          <w:tcPr>
            <w:tcW w:w="851" w:type="dxa"/>
            <w:noWrap w:val="0"/>
            <w:vAlign w:val="center"/>
          </w:tcPr>
          <w:p w14:paraId="25A9EFBC">
            <w:pPr>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9</w:t>
            </w:r>
            <w:r>
              <w:rPr>
                <w:rFonts w:hint="eastAsia" w:ascii="宋体" w:hAnsi="宋体" w:cs="Tahoma"/>
                <w:color w:val="auto"/>
                <w:kern w:val="0"/>
                <w:szCs w:val="21"/>
              </w:rPr>
              <w:t>分</w:t>
            </w:r>
          </w:p>
        </w:tc>
      </w:tr>
      <w:tr w14:paraId="1A8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53686CD1">
            <w:pPr>
              <w:adjustRightInd w:val="0"/>
              <w:spacing w:line="400" w:lineRule="exact"/>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2.5</w:t>
            </w:r>
          </w:p>
        </w:tc>
        <w:tc>
          <w:tcPr>
            <w:tcW w:w="1418" w:type="dxa"/>
            <w:noWrap w:val="0"/>
            <w:vAlign w:val="center"/>
          </w:tcPr>
          <w:p w14:paraId="7514A6E3">
            <w:pPr>
              <w:spacing w:line="300" w:lineRule="exact"/>
              <w:jc w:val="center"/>
              <w:rPr>
                <w:rFonts w:ascii="宋体" w:hAnsi="宋体"/>
                <w:b/>
                <w:color w:val="auto"/>
                <w:kern w:val="0"/>
                <w:szCs w:val="21"/>
              </w:rPr>
            </w:pPr>
            <w:r>
              <w:rPr>
                <w:rFonts w:hint="eastAsia" w:ascii="宋体" w:hAnsi="宋体" w:cs="Courier New"/>
                <w:bCs/>
                <w:color w:val="auto"/>
                <w:kern w:val="0"/>
                <w:szCs w:val="21"/>
              </w:rPr>
              <w:t>售后服务方案分</w:t>
            </w:r>
          </w:p>
        </w:tc>
        <w:tc>
          <w:tcPr>
            <w:tcW w:w="6519" w:type="dxa"/>
            <w:noWrap w:val="0"/>
            <w:vAlign w:val="center"/>
          </w:tcPr>
          <w:p w14:paraId="1E1E7AA6">
            <w:pPr>
              <w:pStyle w:val="2"/>
              <w:spacing w:line="360" w:lineRule="auto"/>
              <w:ind w:firstLine="420" w:firstLineChars="200"/>
              <w:rPr>
                <w:rFonts w:hint="eastAsia" w:hAnsi="宋体" w:cs="宋体"/>
                <w:color w:val="auto"/>
              </w:rPr>
            </w:pPr>
            <w:r>
              <w:rPr>
                <w:rFonts w:hint="eastAsia" w:hAnsi="宋体" w:cs="宋体"/>
                <w:color w:val="auto"/>
              </w:rPr>
              <w:t>一档（</w:t>
            </w:r>
            <w:r>
              <w:rPr>
                <w:rFonts w:hint="eastAsia" w:hAnsi="宋体" w:cs="宋体"/>
                <w:color w:val="auto"/>
                <w:lang w:val="en-US" w:eastAsia="zh-CN"/>
              </w:rPr>
              <w:t>1</w:t>
            </w:r>
            <w:r>
              <w:rPr>
                <w:rFonts w:hint="eastAsia" w:hAnsi="宋体" w:cs="宋体"/>
                <w:color w:val="auto"/>
              </w:rPr>
              <w:t>分）：售后服务方案基本合理可行，基本满足招标文件要求。</w:t>
            </w:r>
          </w:p>
          <w:p w14:paraId="7C15660D">
            <w:pPr>
              <w:pStyle w:val="2"/>
              <w:spacing w:line="360" w:lineRule="auto"/>
              <w:ind w:firstLine="420" w:firstLineChars="200"/>
              <w:rPr>
                <w:rFonts w:hint="eastAsia" w:hAnsi="宋体" w:cs="宋体"/>
                <w:color w:val="auto"/>
              </w:rPr>
            </w:pPr>
            <w:r>
              <w:rPr>
                <w:rFonts w:hint="eastAsia" w:hAnsi="宋体" w:cs="宋体"/>
                <w:color w:val="auto"/>
              </w:rPr>
              <w:t>二档（</w:t>
            </w:r>
            <w:r>
              <w:rPr>
                <w:rFonts w:hint="eastAsia" w:hAnsi="宋体" w:cs="宋体"/>
                <w:color w:val="auto"/>
                <w:lang w:val="en-US" w:eastAsia="zh-CN"/>
              </w:rPr>
              <w:t>5</w:t>
            </w:r>
            <w:r>
              <w:rPr>
                <w:rFonts w:hint="eastAsia" w:hAnsi="宋体" w:cs="宋体"/>
                <w:color w:val="auto"/>
              </w:rPr>
              <w:t>分）：售后服务方案合理可行，满足招标文件要求，支持定期回访，</w:t>
            </w:r>
            <w:r>
              <w:rPr>
                <w:rFonts w:hint="eastAsia" w:ascii="宋体" w:hAnsi="宋体" w:eastAsia="宋体" w:cs="宋体"/>
                <w:color w:val="auto"/>
                <w:lang w:val="en-US" w:eastAsia="zh-CN"/>
              </w:rPr>
              <w:t>提供技术援助电话和售后服务电话</w:t>
            </w:r>
            <w:r>
              <w:rPr>
                <w:rFonts w:hint="eastAsia" w:hAnsi="宋体" w:cs="宋体"/>
                <w:color w:val="auto"/>
                <w:lang w:eastAsia="zh-CN"/>
              </w:rPr>
              <w:t>，</w:t>
            </w:r>
            <w:r>
              <w:rPr>
                <w:rFonts w:hint="eastAsia" w:hAnsi="宋体" w:cs="宋体"/>
                <w:color w:val="auto"/>
              </w:rPr>
              <w:t>提供重大任务保障，提供培训计划。</w:t>
            </w:r>
          </w:p>
          <w:p w14:paraId="0FAAF247">
            <w:pPr>
              <w:pStyle w:val="2"/>
              <w:spacing w:line="360" w:lineRule="auto"/>
              <w:ind w:firstLine="420" w:firstLineChars="200"/>
              <w:rPr>
                <w:rFonts w:ascii="Calibri" w:hAnsi="Calibri"/>
                <w:color w:val="auto"/>
                <w:szCs w:val="22"/>
              </w:rPr>
            </w:pPr>
            <w:r>
              <w:rPr>
                <w:rFonts w:hint="eastAsia" w:hAnsi="宋体" w:cs="宋体"/>
                <w:color w:val="auto"/>
              </w:rPr>
              <w:t>三档（</w:t>
            </w:r>
            <w:r>
              <w:rPr>
                <w:rFonts w:hint="eastAsia" w:hAnsi="宋体" w:cs="宋体"/>
                <w:color w:val="auto"/>
                <w:lang w:val="en-US" w:eastAsia="zh-CN"/>
              </w:rPr>
              <w:t>9</w:t>
            </w:r>
            <w:r>
              <w:rPr>
                <w:rFonts w:hint="eastAsia" w:hAnsi="宋体" w:cs="宋体"/>
                <w:color w:val="auto"/>
              </w:rPr>
              <w:t>分）：</w:t>
            </w:r>
            <w:r>
              <w:rPr>
                <w:rFonts w:hint="eastAsia" w:hAnsi="宋体" w:cs="宋体"/>
                <w:color w:val="auto"/>
                <w:lang w:val="en-US" w:eastAsia="zh-CN"/>
              </w:rPr>
              <w:t>针对该系统涉及的业务，具备优秀及时全面的</w:t>
            </w:r>
            <w:r>
              <w:rPr>
                <w:rFonts w:hint="eastAsia" w:hAnsi="宋体" w:cs="宋体"/>
                <w:color w:val="auto"/>
              </w:rPr>
              <w:t>售后服务方案、论述准确</w:t>
            </w:r>
            <w:r>
              <w:rPr>
                <w:rFonts w:hint="eastAsia" w:hAnsi="宋体" w:cs="宋体"/>
                <w:color w:val="auto"/>
                <w:lang w:eastAsia="zh-CN"/>
              </w:rPr>
              <w:t>、</w:t>
            </w:r>
            <w:r>
              <w:rPr>
                <w:rFonts w:hint="eastAsia" w:hAnsi="宋体" w:cs="宋体"/>
                <w:color w:val="auto"/>
                <w:lang w:val="en-US" w:eastAsia="zh-CN"/>
              </w:rPr>
              <w:t>有长期实行的保障</w:t>
            </w:r>
            <w:r>
              <w:rPr>
                <w:rFonts w:hint="eastAsia" w:hAnsi="宋体" w:cs="宋体"/>
                <w:color w:val="auto"/>
              </w:rPr>
              <w:t>，满足招标文件要</w:t>
            </w:r>
            <w:r>
              <w:rPr>
                <w:rFonts w:hint="eastAsia" w:ascii="宋体" w:hAnsi="宋体" w:eastAsia="宋体" w:cs="宋体"/>
                <w:color w:val="auto"/>
              </w:rPr>
              <w:t>求，</w:t>
            </w:r>
            <w:r>
              <w:rPr>
                <w:rFonts w:hint="eastAsia" w:ascii="宋体" w:hAnsi="宋体" w:eastAsia="宋体" w:cs="宋体"/>
                <w:color w:val="auto"/>
                <w:lang w:val="en-US" w:eastAsia="zh-CN"/>
              </w:rPr>
              <w:t>提供 7×24 小时技术援助电话和售后服务电话，能快速</w:t>
            </w:r>
            <w:r>
              <w:rPr>
                <w:rFonts w:hint="eastAsia" w:hAnsi="宋体" w:cs="宋体"/>
                <w:color w:val="auto"/>
                <w:lang w:val="en-US" w:eastAsia="zh-CN"/>
              </w:rPr>
              <w:t>响应系统优化及改进</w:t>
            </w:r>
            <w:r>
              <w:rPr>
                <w:rFonts w:hint="eastAsia" w:ascii="宋体" w:hAnsi="宋体" w:eastAsia="宋体" w:cs="宋体"/>
                <w:color w:val="auto"/>
                <w:lang w:val="en-US" w:eastAsia="zh-CN"/>
              </w:rPr>
              <w:t>需求</w:t>
            </w:r>
            <w:r>
              <w:rPr>
                <w:rFonts w:hint="eastAsia" w:hAnsi="宋体" w:cs="宋体"/>
                <w:color w:val="auto"/>
                <w:lang w:val="en-US" w:eastAsia="zh-CN"/>
              </w:rPr>
              <w:t>，</w:t>
            </w:r>
            <w:r>
              <w:rPr>
                <w:rFonts w:hint="eastAsia" w:ascii="宋体" w:hAnsi="宋体" w:eastAsia="宋体" w:cs="宋体"/>
                <w:color w:val="auto"/>
                <w:lang w:val="en-US" w:eastAsia="zh-CN"/>
              </w:rPr>
              <w:t>提供技术支持服务，</w:t>
            </w:r>
            <w:r>
              <w:rPr>
                <w:rFonts w:hint="eastAsia" w:ascii="宋体" w:hAnsi="宋体" w:eastAsia="宋体" w:cs="宋体"/>
                <w:color w:val="auto"/>
              </w:rPr>
              <w:t>支持定</w:t>
            </w:r>
            <w:r>
              <w:rPr>
                <w:rFonts w:hint="eastAsia" w:hAnsi="宋体" w:cs="宋体"/>
                <w:color w:val="auto"/>
              </w:rPr>
              <w:t>期回访，提供重大任务保障，提供详细培训计划。</w:t>
            </w:r>
          </w:p>
        </w:tc>
        <w:tc>
          <w:tcPr>
            <w:tcW w:w="851" w:type="dxa"/>
            <w:noWrap w:val="0"/>
            <w:vAlign w:val="center"/>
          </w:tcPr>
          <w:p w14:paraId="1EECF35D">
            <w:pPr>
              <w:spacing w:line="400" w:lineRule="exact"/>
              <w:jc w:val="center"/>
              <w:rPr>
                <w:rFonts w:ascii="宋体" w:hAnsi="宋体" w:cs="Tahoma"/>
                <w:color w:val="auto"/>
                <w:kern w:val="0"/>
                <w:szCs w:val="21"/>
              </w:rPr>
            </w:pPr>
            <w:r>
              <w:rPr>
                <w:rFonts w:hint="eastAsia" w:ascii="宋体" w:hAnsi="宋体" w:cs="Tahoma"/>
                <w:color w:val="auto"/>
                <w:kern w:val="0"/>
                <w:szCs w:val="21"/>
                <w:lang w:val="en-US" w:eastAsia="zh-CN"/>
              </w:rPr>
              <w:t>9</w:t>
            </w:r>
            <w:r>
              <w:rPr>
                <w:rFonts w:hint="eastAsia" w:ascii="宋体" w:hAnsi="宋体" w:cs="Tahoma"/>
                <w:color w:val="auto"/>
                <w:kern w:val="0"/>
                <w:szCs w:val="21"/>
              </w:rPr>
              <w:t>分</w:t>
            </w:r>
          </w:p>
        </w:tc>
      </w:tr>
      <w:tr w14:paraId="29E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43805C98">
            <w:pPr>
              <w:widowControl/>
              <w:spacing w:line="400" w:lineRule="exact"/>
              <w:jc w:val="center"/>
              <w:rPr>
                <w:rFonts w:ascii="宋体" w:hAnsi="宋体" w:cs="Tahoma"/>
                <w:b/>
                <w:color w:val="auto"/>
                <w:kern w:val="0"/>
                <w:szCs w:val="21"/>
              </w:rPr>
            </w:pPr>
            <w:r>
              <w:rPr>
                <w:rFonts w:hint="eastAsia" w:ascii="宋体" w:hAnsi="宋体" w:cs="Tahoma"/>
                <w:b/>
                <w:color w:val="auto"/>
                <w:kern w:val="0"/>
                <w:szCs w:val="21"/>
              </w:rPr>
              <w:t>3</w:t>
            </w:r>
          </w:p>
        </w:tc>
        <w:tc>
          <w:tcPr>
            <w:tcW w:w="1418" w:type="dxa"/>
            <w:noWrap w:val="0"/>
            <w:vAlign w:val="center"/>
          </w:tcPr>
          <w:p w14:paraId="04E60E87">
            <w:pPr>
              <w:widowControl/>
              <w:spacing w:line="400" w:lineRule="exact"/>
              <w:jc w:val="center"/>
              <w:rPr>
                <w:rFonts w:ascii="宋体" w:hAnsi="宋体" w:cs="Courier New"/>
                <w:b/>
                <w:bCs/>
                <w:color w:val="auto"/>
                <w:szCs w:val="21"/>
              </w:rPr>
            </w:pPr>
            <w:r>
              <w:rPr>
                <w:rFonts w:hint="eastAsia" w:ascii="宋体" w:hAnsi="宋体" w:cs="Courier New"/>
                <w:b/>
                <w:bCs/>
                <w:color w:val="auto"/>
                <w:szCs w:val="21"/>
              </w:rPr>
              <w:t>商务分</w:t>
            </w:r>
          </w:p>
        </w:tc>
        <w:tc>
          <w:tcPr>
            <w:tcW w:w="7370" w:type="dxa"/>
            <w:gridSpan w:val="2"/>
            <w:noWrap w:val="0"/>
            <w:vAlign w:val="center"/>
          </w:tcPr>
          <w:p w14:paraId="0C3B1BD7">
            <w:pPr>
              <w:widowControl/>
              <w:spacing w:line="400" w:lineRule="exact"/>
              <w:jc w:val="center"/>
              <w:rPr>
                <w:rFonts w:ascii="宋体" w:hAnsi="宋体" w:cs="Tahoma"/>
                <w:b/>
                <w:color w:val="auto"/>
                <w:kern w:val="0"/>
                <w:szCs w:val="21"/>
              </w:rPr>
            </w:pPr>
            <w:r>
              <w:rPr>
                <w:rFonts w:hint="eastAsia" w:ascii="宋体" w:hAnsi="宋体" w:cs="Tahoma"/>
                <w:b/>
                <w:bCs/>
                <w:color w:val="auto"/>
                <w:kern w:val="0"/>
                <w:szCs w:val="21"/>
              </w:rPr>
              <w:t>具体内容</w:t>
            </w:r>
          </w:p>
        </w:tc>
      </w:tr>
      <w:tr w14:paraId="3E1E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3" w:type="dxa"/>
            <w:noWrap w:val="0"/>
            <w:vAlign w:val="center"/>
          </w:tcPr>
          <w:p w14:paraId="4FC42E35">
            <w:pPr>
              <w:spacing w:line="300" w:lineRule="exact"/>
              <w:rPr>
                <w:rFonts w:hint="default" w:ascii="宋体" w:hAnsi="宋体" w:eastAsia="宋体" w:cs="Courier New"/>
                <w:bCs/>
                <w:color w:val="auto"/>
                <w:szCs w:val="21"/>
                <w:lang w:val="en-US" w:eastAsia="zh-CN"/>
              </w:rPr>
            </w:pPr>
            <w:r>
              <w:rPr>
                <w:rFonts w:hint="eastAsia" w:ascii="宋体" w:hAnsi="宋体" w:cs="Courier New"/>
                <w:bCs/>
                <w:color w:val="auto"/>
                <w:szCs w:val="21"/>
                <w:lang w:val="en-US" w:eastAsia="zh-CN"/>
              </w:rPr>
              <w:t>3.1</w:t>
            </w:r>
          </w:p>
        </w:tc>
        <w:tc>
          <w:tcPr>
            <w:tcW w:w="1418" w:type="dxa"/>
            <w:noWrap w:val="0"/>
            <w:vAlign w:val="center"/>
          </w:tcPr>
          <w:p w14:paraId="67E9671C">
            <w:pPr>
              <w:adjustRightInd w:val="0"/>
              <w:spacing w:line="300" w:lineRule="exact"/>
              <w:textAlignment w:val="baseline"/>
              <w:rPr>
                <w:rFonts w:hint="eastAsia" w:ascii="宋体" w:hAnsi="宋体" w:cs="Courier New"/>
                <w:bCs/>
                <w:color w:val="auto"/>
                <w:szCs w:val="21"/>
              </w:rPr>
            </w:pPr>
            <w:r>
              <w:rPr>
                <w:rFonts w:hint="eastAsia" w:ascii="宋体" w:hAnsi="宋体" w:cs="Courier New"/>
                <w:bCs/>
                <w:color w:val="auto"/>
                <w:szCs w:val="21"/>
              </w:rPr>
              <w:t>企业实力</w:t>
            </w:r>
          </w:p>
        </w:tc>
        <w:tc>
          <w:tcPr>
            <w:tcW w:w="6519" w:type="dxa"/>
            <w:noWrap w:val="0"/>
            <w:vAlign w:val="center"/>
          </w:tcPr>
          <w:p w14:paraId="30345A48">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1.投标人具有CMMI3级以上(含)证书得1分</w:t>
            </w:r>
          </w:p>
          <w:p w14:paraId="25315598">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2.投标人具有高新技术企业证书得1分。</w:t>
            </w:r>
          </w:p>
        </w:tc>
        <w:tc>
          <w:tcPr>
            <w:tcW w:w="851" w:type="dxa"/>
            <w:noWrap w:val="0"/>
            <w:vAlign w:val="center"/>
          </w:tcPr>
          <w:p w14:paraId="2BFB57DA">
            <w:pPr>
              <w:widowControl/>
              <w:spacing w:line="400" w:lineRule="exact"/>
              <w:jc w:val="center"/>
              <w:rPr>
                <w:rFonts w:hint="eastAsia" w:ascii="宋体" w:hAnsi="宋体" w:cs="Tahoma"/>
                <w:color w:val="auto"/>
                <w:kern w:val="0"/>
                <w:szCs w:val="21"/>
                <w:lang w:val="en-US" w:eastAsia="zh-CN"/>
              </w:rPr>
            </w:pPr>
            <w:r>
              <w:rPr>
                <w:rFonts w:hint="eastAsia" w:ascii="宋体" w:hAnsi="宋体" w:cs="Tahoma"/>
                <w:color w:val="auto"/>
                <w:kern w:val="0"/>
                <w:szCs w:val="21"/>
                <w:lang w:val="en-US" w:eastAsia="zh-CN"/>
              </w:rPr>
              <w:t>2</w:t>
            </w:r>
            <w:r>
              <w:rPr>
                <w:rFonts w:hint="eastAsia" w:ascii="宋体" w:hAnsi="宋体" w:cs="Tahoma"/>
                <w:color w:val="auto"/>
                <w:kern w:val="0"/>
                <w:szCs w:val="21"/>
              </w:rPr>
              <w:t>分</w:t>
            </w:r>
          </w:p>
        </w:tc>
      </w:tr>
      <w:tr w14:paraId="5A2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2975F17C">
            <w:pPr>
              <w:spacing w:line="300" w:lineRule="exact"/>
              <w:rPr>
                <w:rFonts w:hint="default" w:ascii="宋体" w:hAnsi="宋体" w:eastAsia="宋体" w:cs="Courier New"/>
                <w:bCs/>
                <w:color w:val="auto"/>
                <w:szCs w:val="21"/>
                <w:lang w:val="en-US" w:eastAsia="zh-CN"/>
              </w:rPr>
            </w:pPr>
            <w:r>
              <w:rPr>
                <w:rFonts w:hint="eastAsia" w:ascii="宋体" w:hAnsi="宋体" w:cs="Courier New"/>
                <w:bCs/>
                <w:color w:val="auto"/>
                <w:szCs w:val="21"/>
                <w:lang w:val="en-US" w:eastAsia="zh-CN"/>
              </w:rPr>
              <w:t>3.2</w:t>
            </w:r>
          </w:p>
        </w:tc>
        <w:tc>
          <w:tcPr>
            <w:tcW w:w="1418" w:type="dxa"/>
            <w:noWrap w:val="0"/>
            <w:vAlign w:val="center"/>
          </w:tcPr>
          <w:p w14:paraId="1C76A881">
            <w:pPr>
              <w:adjustRightInd w:val="0"/>
              <w:spacing w:line="300" w:lineRule="exact"/>
              <w:textAlignment w:val="baseline"/>
              <w:rPr>
                <w:rFonts w:hint="eastAsia" w:ascii="宋体" w:hAnsi="宋体" w:eastAsia="宋体" w:cs="Courier New"/>
                <w:bCs/>
                <w:color w:val="auto"/>
                <w:szCs w:val="21"/>
                <w:lang w:val="en-US" w:eastAsia="zh-CN"/>
              </w:rPr>
            </w:pPr>
            <w:r>
              <w:rPr>
                <w:rFonts w:hint="eastAsia" w:ascii="宋体" w:hAnsi="宋体" w:eastAsia="宋体" w:cs="Courier New"/>
                <w:bCs/>
                <w:color w:val="auto"/>
                <w:szCs w:val="21"/>
              </w:rPr>
              <w:t>软件著作权</w:t>
            </w:r>
            <w:r>
              <w:rPr>
                <w:rFonts w:hint="eastAsia" w:ascii="宋体" w:hAnsi="宋体" w:eastAsia="宋体" w:cs="Courier New"/>
                <w:bCs/>
                <w:color w:val="auto"/>
                <w:szCs w:val="21"/>
                <w:lang w:val="en-US" w:eastAsia="zh-CN"/>
              </w:rPr>
              <w:t>分</w:t>
            </w:r>
          </w:p>
        </w:tc>
        <w:tc>
          <w:tcPr>
            <w:tcW w:w="6519" w:type="dxa"/>
            <w:noWrap w:val="0"/>
            <w:vAlign w:val="center"/>
          </w:tcPr>
          <w:p w14:paraId="12CBCE2E">
            <w:pPr>
              <w:spacing w:line="360" w:lineRule="auto"/>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投标人提供与该项目</w:t>
            </w:r>
            <w:r>
              <w:rPr>
                <w:rFonts w:hint="eastAsia" w:ascii="宋体" w:hAnsi="宋体" w:cs="宋体"/>
                <w:color w:val="auto"/>
                <w:kern w:val="2"/>
                <w:sz w:val="21"/>
                <w:szCs w:val="21"/>
                <w:lang w:val="en-US" w:eastAsia="zh-CN" w:bidi="ar-SA"/>
              </w:rPr>
              <w:t>中提及的▲符号项</w:t>
            </w:r>
            <w:r>
              <w:rPr>
                <w:rFonts w:hint="eastAsia" w:ascii="宋体" w:hAnsi="宋体" w:eastAsia="宋体" w:cs="宋体"/>
                <w:color w:val="auto"/>
                <w:kern w:val="2"/>
                <w:sz w:val="21"/>
                <w:szCs w:val="21"/>
                <w:lang w:val="en-US" w:eastAsia="zh-CN" w:bidi="ar-SA"/>
              </w:rPr>
              <w:t>同类型软件著作权登记证书。</w:t>
            </w:r>
          </w:p>
          <w:p w14:paraId="6ED371CA">
            <w:pPr>
              <w:spacing w:line="360" w:lineRule="auto"/>
              <w:rPr>
                <w:rFonts w:hint="eastAsia" w:ascii="宋体" w:hAnsi="宋体" w:eastAsia="宋体" w:cs="Courier New"/>
                <w:color w:val="auto"/>
                <w:szCs w:val="21"/>
                <w:lang w:eastAsia="zh-CN"/>
              </w:rPr>
            </w:pPr>
            <w:r>
              <w:rPr>
                <w:rFonts w:hint="eastAsia" w:ascii="宋体" w:hAnsi="宋体" w:eastAsia="宋体" w:cs="宋体"/>
                <w:color w:val="auto"/>
                <w:kern w:val="2"/>
                <w:sz w:val="21"/>
                <w:szCs w:val="21"/>
                <w:lang w:val="en-US" w:eastAsia="zh-CN" w:bidi="ar-SA"/>
              </w:rPr>
              <w:t>要求提供的软件著作权登记证书必须是投标人或投标人所代理产品生产厂家自主拥有，提供证书原件扫描件并加盖厂商公章。投标人或投标人所投的投标产品厂商所投软件著作权名称可与以上名称略有不同，但需具有相同功能，否则不得分，每提供一份有效证书得1分，全部提供得3分(提供证书复印件加盖公章)</w:t>
            </w:r>
          </w:p>
        </w:tc>
        <w:tc>
          <w:tcPr>
            <w:tcW w:w="851" w:type="dxa"/>
            <w:noWrap w:val="0"/>
            <w:vAlign w:val="center"/>
          </w:tcPr>
          <w:p w14:paraId="5AA1A45C">
            <w:pPr>
              <w:widowControl/>
              <w:spacing w:line="400" w:lineRule="exact"/>
              <w:jc w:val="center"/>
              <w:rPr>
                <w:rFonts w:hint="default" w:ascii="宋体" w:hAnsi="宋体" w:eastAsia="宋体" w:cs="Tahoma"/>
                <w:color w:val="auto"/>
                <w:kern w:val="0"/>
                <w:szCs w:val="21"/>
                <w:lang w:val="en-US" w:eastAsia="zh-CN"/>
              </w:rPr>
            </w:pPr>
            <w:r>
              <w:rPr>
                <w:rFonts w:hint="eastAsia" w:ascii="宋体" w:hAnsi="宋体" w:cs="Tahoma"/>
                <w:color w:val="auto"/>
                <w:kern w:val="0"/>
                <w:szCs w:val="21"/>
                <w:lang w:val="en-US" w:eastAsia="zh-CN"/>
              </w:rPr>
              <w:t>3</w:t>
            </w:r>
            <w:r>
              <w:rPr>
                <w:rFonts w:hint="eastAsia" w:ascii="宋体" w:hAnsi="宋体" w:cs="Tahoma"/>
                <w:color w:val="auto"/>
                <w:kern w:val="0"/>
                <w:szCs w:val="21"/>
              </w:rPr>
              <w:t>分</w:t>
            </w:r>
          </w:p>
        </w:tc>
      </w:tr>
      <w:tr w14:paraId="48A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shd w:val="clear" w:color="auto" w:fill="auto"/>
            <w:noWrap w:val="0"/>
            <w:vAlign w:val="center"/>
          </w:tcPr>
          <w:p w14:paraId="788B20D1">
            <w:pPr>
              <w:spacing w:line="300" w:lineRule="exact"/>
              <w:rPr>
                <w:rFonts w:hint="eastAsia" w:ascii="宋体" w:hAnsi="宋体" w:eastAsia="宋体" w:cs="Courier New"/>
                <w:bCs/>
                <w:color w:val="auto"/>
                <w:kern w:val="2"/>
                <w:sz w:val="21"/>
                <w:szCs w:val="21"/>
                <w:lang w:val="en-US" w:eastAsia="zh-CN" w:bidi="ar-SA"/>
              </w:rPr>
            </w:pPr>
            <w:r>
              <w:rPr>
                <w:rFonts w:hint="eastAsia" w:ascii="宋体" w:hAnsi="宋体" w:cs="Courier New"/>
                <w:bCs/>
                <w:color w:val="auto"/>
                <w:szCs w:val="21"/>
              </w:rPr>
              <w:t>3</w:t>
            </w:r>
            <w:r>
              <w:rPr>
                <w:rFonts w:ascii="宋体" w:hAnsi="宋体" w:cs="Courier New"/>
                <w:bCs/>
                <w:color w:val="auto"/>
                <w:szCs w:val="21"/>
              </w:rPr>
              <w:t>.</w:t>
            </w:r>
            <w:r>
              <w:rPr>
                <w:rFonts w:hint="eastAsia" w:ascii="宋体" w:hAnsi="宋体" w:cs="Courier New"/>
                <w:bCs/>
                <w:color w:val="auto"/>
                <w:szCs w:val="21"/>
                <w:lang w:val="en-US" w:eastAsia="zh-CN"/>
              </w:rPr>
              <w:t>3</w:t>
            </w:r>
          </w:p>
        </w:tc>
        <w:tc>
          <w:tcPr>
            <w:tcW w:w="1418" w:type="dxa"/>
            <w:shd w:val="clear" w:color="auto" w:fill="auto"/>
            <w:noWrap w:val="0"/>
            <w:vAlign w:val="center"/>
          </w:tcPr>
          <w:p w14:paraId="4DBB0591">
            <w:pPr>
              <w:adjustRightInd w:val="0"/>
              <w:spacing w:line="300" w:lineRule="exact"/>
              <w:textAlignment w:val="baseline"/>
              <w:rPr>
                <w:rFonts w:hint="eastAsia" w:ascii="宋体" w:hAnsi="宋体" w:eastAsia="宋体" w:cs="Courier New"/>
                <w:bCs/>
                <w:color w:val="auto"/>
                <w:kern w:val="2"/>
                <w:sz w:val="21"/>
                <w:szCs w:val="21"/>
                <w:lang w:val="en-US" w:eastAsia="zh-CN" w:bidi="ar-SA"/>
              </w:rPr>
            </w:pPr>
            <w:r>
              <w:rPr>
                <w:rFonts w:hint="eastAsia" w:ascii="宋体" w:hAnsi="宋体" w:cs="Courier New"/>
                <w:bCs/>
                <w:color w:val="auto"/>
                <w:szCs w:val="21"/>
              </w:rPr>
              <w:t>信誉业绩分</w:t>
            </w:r>
          </w:p>
        </w:tc>
        <w:tc>
          <w:tcPr>
            <w:tcW w:w="6519" w:type="dxa"/>
            <w:shd w:val="clear" w:color="auto" w:fill="auto"/>
            <w:noWrap w:val="0"/>
            <w:vAlign w:val="center"/>
          </w:tcPr>
          <w:p w14:paraId="0397F0E4">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自2022年以来投标人具有同类项目业绩的</w:t>
            </w:r>
            <w:r>
              <w:rPr>
                <w:rFonts w:hint="eastAsia" w:ascii="宋体" w:hAnsi="宋体" w:cs="宋体"/>
                <w:color w:val="auto"/>
                <w:kern w:val="2"/>
                <w:sz w:val="21"/>
                <w:szCs w:val="21"/>
                <w:lang w:val="en-US" w:eastAsia="zh-CN" w:bidi="ar-SA"/>
              </w:rPr>
              <w:t>（</w:t>
            </w:r>
            <w:r>
              <w:rPr>
                <w:rFonts w:ascii="Segoe UI" w:hAnsi="Segoe UI" w:eastAsia="Segoe UI" w:cs="Segoe UI"/>
                <w:i w:val="0"/>
                <w:iCs w:val="0"/>
                <w:caps w:val="0"/>
                <w:color w:val="auto"/>
                <w:spacing w:val="0"/>
                <w:sz w:val="21"/>
                <w:szCs w:val="21"/>
                <w:shd w:val="clear" w:fill="FFFFFF"/>
              </w:rPr>
              <w:t>单项合同金额≥</w:t>
            </w:r>
            <w:r>
              <w:rPr>
                <w:rFonts w:hint="eastAsia" w:ascii="Segoe UI" w:hAnsi="Segoe UI" w:eastAsia="宋体" w:cs="Segoe UI"/>
                <w:i w:val="0"/>
                <w:iCs w:val="0"/>
                <w:caps w:val="0"/>
                <w:color w:val="auto"/>
                <w:spacing w:val="0"/>
                <w:sz w:val="21"/>
                <w:szCs w:val="21"/>
                <w:shd w:val="clear" w:fill="FFFFFF"/>
                <w:lang w:val="en-US" w:eastAsia="zh-CN"/>
              </w:rPr>
              <w:t>1</w:t>
            </w:r>
            <w:r>
              <w:rPr>
                <w:rFonts w:ascii="Segoe UI" w:hAnsi="Segoe UI" w:eastAsia="Segoe UI" w:cs="Segoe UI"/>
                <w:i w:val="0"/>
                <w:iCs w:val="0"/>
                <w:caps w:val="0"/>
                <w:color w:val="auto"/>
                <w:spacing w:val="0"/>
                <w:sz w:val="21"/>
                <w:szCs w:val="21"/>
                <w:shd w:val="clear" w:fill="FFFFFF"/>
              </w:rPr>
              <w:t>00万元的</w:t>
            </w:r>
            <w:r>
              <w:rPr>
                <w:rFonts w:hint="eastAsia" w:ascii="Segoe UI" w:hAnsi="Segoe UI" w:eastAsia="宋体" w:cs="Segoe UI"/>
                <w:i w:val="0"/>
                <w:iCs w:val="0"/>
                <w:caps w:val="0"/>
                <w:color w:val="auto"/>
                <w:spacing w:val="0"/>
                <w:sz w:val="21"/>
                <w:szCs w:val="21"/>
                <w:shd w:val="clear" w:fill="FFFFFF"/>
                <w:lang w:val="en-US" w:eastAsia="zh-CN"/>
              </w:rPr>
              <w:t>智能健康管理</w:t>
            </w:r>
            <w:r>
              <w:rPr>
                <w:rFonts w:hint="eastAsia" w:ascii="Segoe UI" w:hAnsi="Segoe UI" w:cs="Segoe UI"/>
                <w:i w:val="0"/>
                <w:iCs w:val="0"/>
                <w:caps w:val="0"/>
                <w:color w:val="auto"/>
                <w:spacing w:val="0"/>
                <w:sz w:val="21"/>
                <w:szCs w:val="21"/>
                <w:shd w:val="clear" w:fill="FFFFFF"/>
                <w:lang w:val="en-US" w:eastAsia="zh-CN"/>
              </w:rPr>
              <w:t>相关</w:t>
            </w:r>
            <w:r>
              <w:rPr>
                <w:rFonts w:hint="eastAsia" w:ascii="Segoe UI" w:hAnsi="Segoe UI" w:eastAsia="宋体" w:cs="Segoe UI"/>
                <w:i w:val="0"/>
                <w:iCs w:val="0"/>
                <w:caps w:val="0"/>
                <w:color w:val="auto"/>
                <w:spacing w:val="0"/>
                <w:sz w:val="21"/>
                <w:szCs w:val="21"/>
                <w:shd w:val="clear" w:fill="FFFFFF"/>
                <w:lang w:val="en-US" w:eastAsia="zh-CN"/>
              </w:rPr>
              <w:t>系统</w:t>
            </w:r>
            <w:r>
              <w:rPr>
                <w:rFonts w:ascii="Segoe UI" w:hAnsi="Segoe UI" w:eastAsia="Segoe UI" w:cs="Segoe UI"/>
                <w:i w:val="0"/>
                <w:iCs w:val="0"/>
                <w:caps w:val="0"/>
                <w:color w:val="auto"/>
                <w:spacing w:val="0"/>
                <w:sz w:val="21"/>
                <w:szCs w:val="21"/>
                <w:shd w:val="clear" w:fill="FFFFFF"/>
              </w:rPr>
              <w:t>信息化项目</w:t>
            </w:r>
            <w:r>
              <w:rPr>
                <w:rFonts w:hint="eastAsia" w:ascii="Segoe UI" w:hAnsi="Segoe UI" w:eastAsia="宋体" w:cs="Segoe UI"/>
                <w:i w:val="0"/>
                <w:iCs w:val="0"/>
                <w:caps w:val="0"/>
                <w:color w:val="auto"/>
                <w:spacing w:val="0"/>
                <w:sz w:val="21"/>
                <w:szCs w:val="21"/>
                <w:shd w:val="clear" w:fill="FFFFFF"/>
                <w:lang w:eastAsia="zh-CN"/>
              </w:rPr>
              <w:t>，</w:t>
            </w:r>
            <w:r>
              <w:rPr>
                <w:rFonts w:hint="eastAsia" w:ascii="宋体" w:hAnsi="宋体" w:eastAsia="宋体" w:cs="宋体"/>
                <w:color w:val="auto"/>
                <w:kern w:val="2"/>
                <w:sz w:val="21"/>
                <w:szCs w:val="21"/>
                <w:lang w:val="en-US" w:eastAsia="zh-CN" w:bidi="ar-SA"/>
              </w:rPr>
              <w:t>业绩合同须为投标人本人签署的独立合同，提供合同关键页（首页、金额页、内容页、签章页</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，每提供一份具有业绩证明的得</w:t>
            </w: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分，满分</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p>
          <w:p w14:paraId="10F73C38">
            <w:pPr>
              <w:spacing w:line="360" w:lineRule="auto"/>
              <w:rPr>
                <w:rFonts w:hint="eastAsia" w:ascii="宋体" w:hAnsi="宋体" w:eastAsia="宋体" w:cs="Courier New"/>
                <w:bCs/>
                <w:color w:val="auto"/>
                <w:kern w:val="2"/>
                <w:sz w:val="21"/>
                <w:szCs w:val="21"/>
                <w:lang w:val="en-US" w:eastAsia="zh-CN" w:bidi="ar-SA"/>
              </w:rPr>
            </w:pPr>
            <w:r>
              <w:rPr>
                <w:rFonts w:hint="eastAsia" w:ascii="宋体" w:hAnsi="宋体" w:cs="Courier New"/>
                <w:b/>
                <w:bCs/>
                <w:color w:val="auto"/>
                <w:szCs w:val="21"/>
              </w:rPr>
              <w:t>（以项目合同为准，提供复印件，</w:t>
            </w:r>
            <w:r>
              <w:rPr>
                <w:rFonts w:hint="eastAsia" w:ascii="宋体" w:hAnsi="宋体" w:cs="Courier New"/>
                <w:b/>
                <w:bCs/>
                <w:color w:val="auto"/>
                <w:szCs w:val="21"/>
                <w:lang w:val="en-US" w:eastAsia="zh-CN"/>
              </w:rPr>
              <w:t>准备好</w:t>
            </w:r>
            <w:r>
              <w:rPr>
                <w:rFonts w:hint="eastAsia" w:ascii="宋体" w:hAnsi="宋体" w:cs="Courier New"/>
                <w:b/>
                <w:bCs/>
                <w:color w:val="auto"/>
                <w:szCs w:val="21"/>
              </w:rPr>
              <w:t>原件备查）。</w:t>
            </w:r>
          </w:p>
        </w:tc>
        <w:tc>
          <w:tcPr>
            <w:tcW w:w="851" w:type="dxa"/>
            <w:shd w:val="clear" w:color="auto" w:fill="auto"/>
            <w:noWrap w:val="0"/>
            <w:vAlign w:val="center"/>
          </w:tcPr>
          <w:p w14:paraId="28D44398">
            <w:pPr>
              <w:widowControl/>
              <w:spacing w:line="400" w:lineRule="exact"/>
              <w:jc w:val="center"/>
              <w:rPr>
                <w:rFonts w:hint="default" w:ascii="宋体" w:hAnsi="宋体" w:eastAsia="宋体" w:cs="Tahoma"/>
                <w:color w:val="auto"/>
                <w:kern w:val="0"/>
                <w:sz w:val="21"/>
                <w:szCs w:val="21"/>
                <w:lang w:val="en-US" w:eastAsia="zh-CN" w:bidi="ar-SA"/>
              </w:rPr>
            </w:pPr>
            <w:r>
              <w:rPr>
                <w:rFonts w:hint="eastAsia" w:ascii="宋体" w:hAnsi="宋体" w:cs="Tahoma"/>
                <w:color w:val="auto"/>
                <w:kern w:val="0"/>
                <w:szCs w:val="21"/>
                <w:lang w:val="en-US" w:eastAsia="zh-CN"/>
              </w:rPr>
              <w:t>3</w:t>
            </w:r>
            <w:r>
              <w:rPr>
                <w:rFonts w:hint="eastAsia" w:ascii="宋体" w:hAnsi="宋体" w:cs="Tahoma"/>
                <w:color w:val="auto"/>
                <w:kern w:val="0"/>
                <w:szCs w:val="21"/>
              </w:rPr>
              <w:t>分</w:t>
            </w:r>
          </w:p>
        </w:tc>
      </w:tr>
      <w:tr w14:paraId="4A17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70" w:type="dxa"/>
            <w:gridSpan w:val="3"/>
            <w:noWrap w:val="0"/>
            <w:vAlign w:val="top"/>
          </w:tcPr>
          <w:p w14:paraId="6E95B096">
            <w:pPr>
              <w:spacing w:line="400" w:lineRule="exact"/>
              <w:ind w:firstLine="420" w:firstLineChars="200"/>
              <w:rPr>
                <w:rFonts w:ascii="宋体" w:hAnsi="宋体" w:cs="Courier New"/>
                <w:bCs/>
                <w:color w:val="auto"/>
                <w:szCs w:val="21"/>
              </w:rPr>
            </w:pPr>
            <w:r>
              <w:rPr>
                <w:rFonts w:hint="eastAsia" w:ascii="宋体" w:hAnsi="宋体" w:cs="Courier New"/>
                <w:bCs/>
                <w:color w:val="auto"/>
                <w:szCs w:val="21"/>
              </w:rPr>
              <w:t>总得分＝1＋2＋3</w:t>
            </w:r>
          </w:p>
        </w:tc>
        <w:tc>
          <w:tcPr>
            <w:tcW w:w="851" w:type="dxa"/>
            <w:noWrap w:val="0"/>
            <w:vAlign w:val="center"/>
          </w:tcPr>
          <w:p w14:paraId="72C0A7CE">
            <w:pPr>
              <w:widowControl/>
              <w:spacing w:line="400" w:lineRule="exact"/>
              <w:jc w:val="center"/>
              <w:rPr>
                <w:rFonts w:ascii="宋体" w:hAnsi="宋体" w:cs="Tahoma"/>
                <w:color w:val="auto"/>
                <w:kern w:val="0"/>
                <w:szCs w:val="21"/>
              </w:rPr>
            </w:pPr>
          </w:p>
        </w:tc>
      </w:tr>
      <w:bookmarkEnd w:id="0"/>
    </w:tbl>
    <w:p w14:paraId="77211E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6226F"/>
    <w:rsid w:val="0092667C"/>
    <w:rsid w:val="0332621A"/>
    <w:rsid w:val="09EF09C1"/>
    <w:rsid w:val="0BE8071C"/>
    <w:rsid w:val="0C4574DF"/>
    <w:rsid w:val="0D9A2076"/>
    <w:rsid w:val="0FC42F1E"/>
    <w:rsid w:val="111243A5"/>
    <w:rsid w:val="15A927E4"/>
    <w:rsid w:val="166B7621"/>
    <w:rsid w:val="1D3047DE"/>
    <w:rsid w:val="1FE92DC5"/>
    <w:rsid w:val="238D5B9A"/>
    <w:rsid w:val="28645A94"/>
    <w:rsid w:val="2BBE0D3A"/>
    <w:rsid w:val="2CC1629F"/>
    <w:rsid w:val="3E78424B"/>
    <w:rsid w:val="3F973C1C"/>
    <w:rsid w:val="40520794"/>
    <w:rsid w:val="45952CEE"/>
    <w:rsid w:val="4D5A571F"/>
    <w:rsid w:val="4FA03191"/>
    <w:rsid w:val="53A564C8"/>
    <w:rsid w:val="54D87DBE"/>
    <w:rsid w:val="57E24C8E"/>
    <w:rsid w:val="60633563"/>
    <w:rsid w:val="62A0536D"/>
    <w:rsid w:val="62D63311"/>
    <w:rsid w:val="6486226F"/>
    <w:rsid w:val="650825C6"/>
    <w:rsid w:val="69FD6AA3"/>
    <w:rsid w:val="6A1B5FBE"/>
    <w:rsid w:val="6CFE3694"/>
    <w:rsid w:val="6FE52DB9"/>
    <w:rsid w:val="72493A0B"/>
    <w:rsid w:val="72FF44EF"/>
    <w:rsid w:val="78850FF2"/>
    <w:rsid w:val="7B641393"/>
    <w:rsid w:val="7F115666"/>
    <w:rsid w:val="7FB7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character" w:customStyle="1" w:styleId="5">
    <w:name w:val="NormalCharacter"/>
    <w:autoRedefine/>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1754</Words>
  <Characters>1808</Characters>
  <Lines>0</Lines>
  <Paragraphs>0</Paragraphs>
  <TotalTime>10</TotalTime>
  <ScaleCrop>false</ScaleCrop>
  <LinksUpToDate>false</LinksUpToDate>
  <CharactersWithSpaces>1827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2025-06-02T13:16:00Z</dcterms:created>
  <dc:creator>微微微</dc:creator>
  <cp:lastModifiedBy>WPS_1675046108</cp:lastModifiedBy>
  <dcterms:modified xsi:type="dcterms:W3CDTF">2025-09-23T00:24:10Z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41BF40F4FD5E4F3B9C6BCCB923292FD6_13</vt:lpwstr>
  </property>
  <property fmtid="{D5CDD505-2E9C-101B-9397-08002B2CF9AE}" pid="4" name="KSOTemplateDocerSaveRecord">
    <vt:lpwstr>eyJoZGlkIjoiODNhYmMwNmE1N2NjZjE1NWVlOTVmNDMyYTRhNDJjZDEiLCJ1c2VySWQiOiIxNDcwNjA3MTAzIn0=</vt:lpwstr>
  </property>
</Properties>
</file>