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405" w:hangingChars="500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名称：病床</w:t>
      </w:r>
    </w:p>
    <w:p w14:paraId="2273515F">
      <w:pPr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编号：NYZBB-SBK-202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508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9</w:t>
      </w:r>
    </w:p>
    <w:p w14:paraId="21F0CEF5">
      <w:pPr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数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量：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5张</w:t>
      </w:r>
    </w:p>
    <w:p w14:paraId="14562E16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</w:p>
    <w:p w14:paraId="13F8C01A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配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3A2C153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一、病床技术参数及性能说明</w:t>
      </w:r>
    </w:p>
    <w:p w14:paraId="5F91426C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规格尺寸：整床尺寸:2150（±30mm）×990（±20mm）×450（±50mm）</w:t>
      </w:r>
    </w:p>
    <w:p w14:paraId="54852C6A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护栏距离床面高度:410mm（±30mm）；</w:t>
      </w:r>
    </w:p>
    <w:p w14:paraId="2D84B95C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产品功能：</w:t>
      </w:r>
    </w:p>
    <w:p w14:paraId="1CDEF1B6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背部调节：0-75°±5°</w:t>
      </w:r>
    </w:p>
    <w:p w14:paraId="1178249C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腿部调节：0-45°±5°</w:t>
      </w:r>
    </w:p>
    <w:p w14:paraId="29532E0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整体升降：450-750mm（±10mm）</w:t>
      </w:r>
    </w:p>
    <w:p w14:paraId="3EDBC409">
      <w:pPr>
        <w:numPr>
          <w:ilvl w:val="0"/>
          <w:numId w:val="1"/>
        </w:numPr>
        <w:spacing w:line="260" w:lineRule="exact"/>
        <w:jc w:val="left"/>
        <w:textAlignment w:val="center"/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病床配置清单</w:t>
      </w:r>
      <w:r>
        <w:rPr>
          <w:rFonts w:hint="eastAsia" w:ascii="宋体" w:hAnsi="宋体" w:cs="宋体"/>
          <w:b/>
          <w:bCs/>
          <w:color w:val="auto"/>
          <w:szCs w:val="21"/>
          <w:shd w:val="clear" w:color="auto" w:fill="FFFFFF"/>
          <w:lang w:val="en-US" w:eastAsia="zh-CN"/>
        </w:rPr>
        <w:t>至少包括：</w:t>
      </w:r>
    </w:p>
    <w:p w14:paraId="02CB6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床体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 张</w:t>
      </w:r>
    </w:p>
    <w:p w14:paraId="7FD08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ABS床头尾板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1付</w:t>
      </w:r>
    </w:p>
    <w:p w14:paraId="12393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PP护栏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4个</w:t>
      </w:r>
    </w:p>
    <w:p w14:paraId="6E411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丝杆（摇把）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3条</w:t>
      </w:r>
    </w:p>
    <w:p w14:paraId="75433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5寸中控轮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14CAF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ABS 中控踏板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1个</w:t>
      </w:r>
    </w:p>
    <w:p w14:paraId="5C938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输液架插座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528E6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引流袋挂钩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10751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输液架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2支</w:t>
      </w:r>
    </w:p>
    <w:p w14:paraId="488D3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杂物架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1个</w:t>
      </w:r>
    </w:p>
    <w:p w14:paraId="65645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床头柜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1个</w:t>
      </w:r>
    </w:p>
    <w:p w14:paraId="79D13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床垫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1张</w:t>
      </w:r>
    </w:p>
    <w:p w14:paraId="0394C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餐板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1个</w:t>
      </w:r>
    </w:p>
    <w:p w14:paraId="7D95E4D2">
      <w:pPr>
        <w:spacing w:line="26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</w:pPr>
    </w:p>
    <w:p w14:paraId="7C6E4DFF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三、部件要求：</w:t>
      </w:r>
    </w:p>
    <w:p w14:paraId="2F9C3A3A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、床体：床框采用加厚≥1.2mm矩型钢管焊接而成，床体静态最大载重≥350kg，床体动态最大载重≥200kg；每个床体至少配备一个床头柜、一张床垫、一个杂物架、一个餐桌板、两根输液杆，具体参数要求另附；床体两侧与床尾至少设置三个床垫防滑筋，防止床垫滑动；床体两侧至少配四个可移动引流袋挂钩，多体位输液引流。</w:t>
      </w:r>
    </w:p>
    <w:p w14:paraId="7FC10016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2、床面板：需采用≥1mm的冷轧钢板一次模压成型，床面凹型设计；</w:t>
      </w:r>
    </w:p>
    <w:p w14:paraId="4B5E6566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3、床头尾板：采用ABS工程材料一次吹塑成型。尾板外侧有病人信息卡插槽；床头尾板实际总重量≥11kg</w:t>
      </w: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需提供国家认可第三方检测机构出具的床头尾板重量检测报告</w:t>
      </w: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）</w:t>
      </w:r>
    </w:p>
    <w:p w14:paraId="5BEF6875">
      <w:pPr>
        <w:tabs>
          <w:tab w:val="left" w:pos="360"/>
          <w:tab w:val="left" w:pos="780"/>
        </w:tabs>
        <w:rPr>
          <w:rFonts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4、护栏：采用3/4或四片式护栏。3/4护栏需上身护栏与床板保持同步升降；气弹簧辅助自动下降，下隐式收藏；背部护栏内嵌机械式角度显示器，实时显示背部床板升降角度；四片护栏在两端均有镂空设计，应急时可兼做扶手，床头两片护栏内外配有操作按钮，方便病人自行调节适应床体；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承受正向50kg异物撞击10次，无损坏</w:t>
      </w:r>
      <w:r>
        <w:rPr>
          <w:rFonts w:hint="eastAsia" w:ascii="宋体" w:hAnsi="宋体" w:eastAsia="宋体" w:cs="宋体"/>
          <w:b/>
          <w:color w:val="auto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szCs w:val="21"/>
        </w:rPr>
        <w:t>病床护栏抗击力检测报告）。</w:t>
      </w:r>
    </w:p>
    <w:p w14:paraId="163CBF55">
      <w:pPr>
        <w:spacing w:line="260" w:lineRule="exact"/>
        <w:jc w:val="left"/>
        <w:textAlignment w:val="center"/>
        <w:rPr>
          <w:rFonts w:ascii="宋体" w:hAnsi="宋体" w:eastAsia="宋体" w:cs="宋体"/>
          <w:b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5、摇把：需采用ABS折叠式摇把，内置≥Φ8mm钢芯，椭圆形防滑设计，具有双向空挡保护装置；摇杆为含油带极限位置双向保护螺杆。采用优质钢管加ABS强化塑料材料，具有高支撑力。每支摇杆可通过独立承重≥700kg的测试。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护理床摇杆承重检测报告）</w:t>
      </w:r>
    </w:p>
    <w:p w14:paraId="49A16E4B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6、整床需带有≥4个输液架插孔；</w:t>
      </w:r>
    </w:p>
    <w:p w14:paraId="25D94A02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7、脚轮：配置五寸双面中控轮，ABS一键中控刹车，四轮刹车，双边抓地；内置全封闭自润滑轴承，防水、防异物卷入，轮面采用耐磨材料。</w:t>
      </w:r>
      <w:r>
        <w:rPr>
          <w:rFonts w:hint="eastAsia" w:ascii="宋体" w:hAnsi="宋体" w:eastAsia="宋体" w:cs="宋体"/>
          <w:color w:val="auto"/>
          <w:szCs w:val="21"/>
        </w:rPr>
        <w:t>静音耐磨；符合GBT 26572-2011《电子电气产品中限用物质的限量要求》，铅含量≤0.1%，镉含量≤0.01%，六价铬含量≤0.1%，汞含量≤0.1%，多溴联苯类≤0.1%，多溴二苯醚类≤0.1%。</w:t>
      </w:r>
      <w:r>
        <w:rPr>
          <w:rFonts w:hint="eastAsia" w:ascii="宋体" w:hAnsi="宋体" w:eastAsia="宋体" w:cs="宋体"/>
          <w:b/>
          <w:color w:val="auto"/>
          <w:szCs w:val="21"/>
        </w:rPr>
        <w:t>（需提供获得CNAS/CMA认证的检测机构出具脚轮检测报告）</w:t>
      </w:r>
    </w:p>
    <w:p w14:paraId="3B3C95CA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8.金属表面采用自有喷涂线双重涂层技术：环氧树脂保护膜＋树脂粉末涂层，真正达到内外防锈；经电泳静电喷塑处理工艺，通过市级检测机构检验认证标准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（需提供国家认可第三方检测机构出具的涂层检测报告）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，抗酸碱腐蚀，防霉，耐褪色。漆粉采用优质漆粉，厚度均达70μm以上。附着力达到一级。</w:t>
      </w:r>
    </w:p>
    <w:p w14:paraId="7E475FC2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9. </w:t>
      </w:r>
      <w:r>
        <w:rPr>
          <w:rFonts w:hint="eastAsia" w:ascii="宋体" w:hAnsi="宋体" w:eastAsia="宋体" w:cs="宋体"/>
          <w:color w:val="auto"/>
          <w:szCs w:val="21"/>
        </w:rPr>
        <w:t>属于绿色健康环保产品，采用抗菌粉末涂料，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szCs w:val="21"/>
        </w:rPr>
        <w:t>对微生物大肠菌和金黄色葡萄球菌具有很强的抗菌作用，抗菌率＞99.9%。通过省级微生物检测分析报告。</w:t>
      </w:r>
      <w:r>
        <w:rPr>
          <w:rFonts w:hint="eastAsia" w:ascii="宋体" w:hAnsi="宋体" w:eastAsia="宋体" w:cs="宋体"/>
          <w:b/>
          <w:color w:val="auto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szCs w:val="21"/>
        </w:rPr>
        <w:t>喷塑粉末SGS检测报告）</w:t>
      </w:r>
    </w:p>
    <w:p w14:paraId="37A3F9D4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10、输液架技术参数及性能说明</w:t>
      </w:r>
    </w:p>
    <w:p w14:paraId="7CC157F8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</w:t>
      </w:r>
    </w:p>
    <w:p w14:paraId="16FD0A20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（2）不锈钢材质；</w:t>
      </w:r>
    </w:p>
    <w:p w14:paraId="6FB1B491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11、杂物架技术参数及性能说明</w:t>
      </w:r>
    </w:p>
    <w:p w14:paraId="2A852FD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</w:t>
      </w:r>
    </w:p>
    <w:p w14:paraId="76998806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（2）不锈钢材质；</w:t>
      </w:r>
    </w:p>
    <w:p w14:paraId="4917C2C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12、床头柜技术参数及性能说明</w:t>
      </w:r>
    </w:p>
    <w:p w14:paraId="5318C1D1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（1）规格</w:t>
      </w:r>
      <w:r>
        <w:rPr>
          <w:rFonts w:hint="eastAsia" w:ascii="宋体" w:hAnsi="宋体" w:cs="宋体"/>
          <w:color w:val="auto"/>
          <w:szCs w:val="21"/>
          <w:shd w:val="clear" w:color="auto" w:fill="FFFFFF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480×480×820mm （L×W×H）；</w:t>
      </w:r>
    </w:p>
    <w:p w14:paraId="4ACFA853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（2）采用全新纯正ABS工程塑料；</w:t>
      </w:r>
    </w:p>
    <w:p w14:paraId="606FE1E4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（3）功能：应配有水壶座、隐藏式毛巾架、隐藏式杂物挂钩、餐桌板（托物板）、抽屉、储物柜；</w:t>
      </w:r>
    </w:p>
    <w:p w14:paraId="3CB42E65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（4）储物柜内中间有隔板；</w:t>
      </w:r>
    </w:p>
    <w:p w14:paraId="496226F4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（5）弧线型柜门设计；</w:t>
      </w:r>
    </w:p>
    <w:p w14:paraId="5F145E78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（6）配2寸尼龙丝扣轮；</w:t>
      </w:r>
    </w:p>
    <w:p w14:paraId="0AD52EE6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（7）整体ABS注塑成型，</w:t>
      </w:r>
      <w:r>
        <w:rPr>
          <w:rFonts w:hint="eastAsia" w:ascii="宋体" w:hAnsi="宋体" w:eastAsia="宋体" w:cs="宋体"/>
          <w:color w:val="auto"/>
          <w:szCs w:val="21"/>
        </w:rPr>
        <w:t>柜板面承重75KG。</w:t>
      </w:r>
      <w:r>
        <w:rPr>
          <w:rFonts w:hint="eastAsia" w:ascii="宋体" w:hAnsi="宋体" w:eastAsia="宋体" w:cs="宋体"/>
          <w:b/>
          <w:color w:val="auto"/>
          <w:szCs w:val="21"/>
        </w:rPr>
        <w:t xml:space="preserve"> (需提供获得CNAS/CMA认证的检测机构出具的床头柜检测报告）</w:t>
      </w:r>
    </w:p>
    <w:p w14:paraId="6F1119B3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13、床垫技术参数及性能说明</w:t>
      </w:r>
    </w:p>
    <w:p w14:paraId="2D014CA8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（1）规格：80mm厚，长宽与床相匹配；</w:t>
      </w:r>
    </w:p>
    <w:p w14:paraId="6D199BF9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（2）面料：防水牛津布；</w:t>
      </w:r>
    </w:p>
    <w:p w14:paraId="40563F24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（3）褥芯：高密度海绵+环保椰棕；</w:t>
      </w:r>
    </w:p>
    <w:p w14:paraId="3F4216DA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14、餐桌板技术参数及性能说明</w:t>
      </w:r>
    </w:p>
    <w:p w14:paraId="7371930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（1）与床体配套；</w:t>
      </w:r>
    </w:p>
    <w:p w14:paraId="55C6B14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（2）材料：采用全新纯正ABS工程塑料注塑成型面板，铝合金伸缩杆；</w:t>
      </w:r>
    </w:p>
    <w:p w14:paraId="6B339AA6">
      <w:pPr>
        <w:rPr>
          <w:rFonts w:hint="eastAsia"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（3）伸展摆放于护栏，可自由调节位置；</w:t>
      </w:r>
    </w:p>
    <w:p w14:paraId="2FCD50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E813E1D">
      <w:pPr>
        <w:pStyle w:val="3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0CEF2"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FE69B85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6BB76"/>
    <w:multiLevelType w:val="singleLevel"/>
    <w:tmpl w:val="CF16BB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B78318E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38B161D"/>
    <w:rsid w:val="35F941BF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7F3F4E"/>
    <w:rsid w:val="57837F9B"/>
    <w:rsid w:val="58727DC0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8F1418C"/>
    <w:rsid w:val="79580A93"/>
    <w:rsid w:val="79592940"/>
    <w:rsid w:val="797773A6"/>
    <w:rsid w:val="7A1B7E60"/>
    <w:rsid w:val="7ACA53E2"/>
    <w:rsid w:val="7B0F7299"/>
    <w:rsid w:val="7BF250D4"/>
    <w:rsid w:val="7D7D6E98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3545</Words>
  <Characters>4188</Characters>
  <Lines>18</Lines>
  <Paragraphs>5</Paragraphs>
  <TotalTime>204</TotalTime>
  <ScaleCrop>false</ScaleCrop>
  <LinksUpToDate>false</LinksUpToDate>
  <CharactersWithSpaces>4345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cp:lastPrinted>2025-09-10T03:55:00Z</cp:lastPrinted>
  <dcterms:modified xsi:type="dcterms:W3CDTF">2025-09-17T00:26:23Z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