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sz w:val="44"/>
          <w:szCs w:val="44"/>
        </w:rPr>
      </w:pPr>
      <w:r>
        <w:rPr>
          <w:rFonts w:hint="eastAsia"/>
          <w:sz w:val="44"/>
          <w:szCs w:val="44"/>
        </w:rPr>
        <w:t>评</w:t>
      </w:r>
      <w:r>
        <w:rPr>
          <w:rFonts w:hint="eastAsia"/>
          <w:sz w:val="44"/>
          <w:szCs w:val="44"/>
          <w:lang w:val="en-US" w:eastAsia="zh-CN"/>
        </w:rPr>
        <w:t>分</w:t>
      </w:r>
      <w:r>
        <w:rPr>
          <w:rFonts w:hint="eastAsia"/>
          <w:sz w:val="44"/>
          <w:szCs w:val="44"/>
        </w:rPr>
        <w:t>标准</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一、价格部分（</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0分）</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1.以满足招标文件要求且投标价格最低的投标报价为评标基准价，其价格得分为满分</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0分。</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2.其他投标人的价格得分计算公式为：价格得分 = (评标基准价 ÷ 投标报价) × </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0。</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二、技术部分（</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0分）</w:t>
      </w:r>
    </w:p>
    <w:p>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（一）防治技术方案（20分）</w:t>
      </w:r>
    </w:p>
    <w:p>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针对医院环境特殊性，对鼠、蚊、蝇、蟑螂、蛇、蜈蚣、白蚁等对象的综合防治方案进行评审：</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一档（5分）：方案简单，仅列出常规方法，缺乏对医院重点区域的针对性措施。</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二档（10分）：方案基本完整，对不同有害生物提出相应防治方法，但措施深度不足。</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三档（15分）：方案完整，能分区分级管理，有环保用药方案。</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四档（20分）：在三档基础上，方案科学、详细、有针对性，有降低抗药性、安全用药、环保处理等系统方案，提供有害生物防制服务专业能力评价达到SB/T 10595-2011</w:t>
      </w:r>
      <w:r>
        <w:rPr>
          <w:rFonts w:hint="eastAsia" w:ascii="仿宋_GB2312" w:hAnsi="仿宋_GB2312" w:eastAsia="仿宋_GB2312" w:cs="仿宋_GB2312"/>
          <w:color w:val="000000"/>
          <w:kern w:val="0"/>
          <w:sz w:val="32"/>
          <w:szCs w:val="32"/>
          <w:lang w:val="en-US" w:eastAsia="zh-CN"/>
        </w:rPr>
        <w:t>及CTS GHSC021-2020</w:t>
      </w:r>
      <w:r>
        <w:rPr>
          <w:rFonts w:hint="eastAsia" w:ascii="仿宋_GB2312" w:hAnsi="仿宋_GB2312" w:eastAsia="仿宋_GB2312" w:cs="仿宋_GB2312"/>
          <w:color w:val="000000"/>
          <w:kern w:val="0"/>
          <w:sz w:val="32"/>
          <w:szCs w:val="32"/>
        </w:rPr>
        <w:t>标准的证明文件。（提供证明材料扫描件，签订合同前审查原件）。</w:t>
      </w:r>
    </w:p>
    <w:p>
      <w:pPr>
        <w:spacing w:line="440" w:lineRule="exac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未提供不得分。</w:t>
      </w:r>
    </w:p>
    <w:p>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（二）项目人员配备与资质（</w:t>
      </w:r>
      <w:r>
        <w:rPr>
          <w:rFonts w:hint="eastAsia" w:ascii="仿宋_GB2312" w:hAnsi="仿宋_GB2312" w:eastAsia="仿宋_GB2312" w:cs="仿宋_GB2312"/>
          <w:b/>
          <w:bCs/>
          <w:color w:val="000000"/>
          <w:kern w:val="0"/>
          <w:sz w:val="32"/>
          <w:szCs w:val="32"/>
          <w:lang w:val="en-US" w:eastAsia="zh-CN"/>
        </w:rPr>
        <w:t>16</w:t>
      </w:r>
      <w:r>
        <w:rPr>
          <w:rFonts w:hint="eastAsia" w:ascii="仿宋_GB2312" w:hAnsi="仿宋_GB2312" w:eastAsia="仿宋_GB2312" w:cs="仿宋_GB2312"/>
          <w:b/>
          <w:bCs/>
          <w:color w:val="000000"/>
          <w:kern w:val="0"/>
          <w:sz w:val="32"/>
          <w:szCs w:val="32"/>
        </w:rPr>
        <w:t>分）</w:t>
      </w:r>
    </w:p>
    <w:p>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对拟投入本项目的团队构成、人员经验及专业资质进行评审：</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分）：人员配置简单，仅列出岗位，未提供具体人员资质和经验证明。</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分）：配置了项目负责人及基本技术人员，提供了相关人员的资格证书复印件及简要履历，但经验与</w:t>
      </w:r>
      <w:r>
        <w:rPr>
          <w:rFonts w:hint="eastAsia" w:ascii="仿宋_GB2312" w:hAnsi="仿宋_GB2312" w:eastAsia="仿宋_GB2312" w:cs="仿宋_GB2312"/>
          <w:color w:val="000000"/>
          <w:kern w:val="0"/>
          <w:sz w:val="32"/>
          <w:szCs w:val="32"/>
          <w:lang w:val="en-US" w:eastAsia="zh-CN"/>
        </w:rPr>
        <w:t>该</w:t>
      </w:r>
      <w:r>
        <w:rPr>
          <w:rFonts w:hint="eastAsia" w:ascii="仿宋_GB2312" w:hAnsi="仿宋_GB2312" w:eastAsia="仿宋_GB2312" w:cs="仿宋_GB2312"/>
          <w:color w:val="000000"/>
          <w:kern w:val="0"/>
          <w:sz w:val="32"/>
          <w:szCs w:val="32"/>
        </w:rPr>
        <w:t>项目匹配度一般。</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分）：团队架构完整、合理。主要技术人员均持证上岗，有明确的现场服务人员培训计划。</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分）：在三档基础上，指派高级有害生物防制工程师担任现场主管，配备具有人力资源和社会保证部门颁发的高级职称并且具有院感防控培训的</w:t>
      </w:r>
      <w:r>
        <w:rPr>
          <w:rFonts w:hint="eastAsia" w:ascii="仿宋_GB2312" w:hAnsi="仿宋_GB2312" w:eastAsia="仿宋_GB2312" w:cs="仿宋_GB2312"/>
          <w:color w:val="000000"/>
          <w:kern w:val="0"/>
          <w:sz w:val="32"/>
          <w:szCs w:val="32"/>
          <w:lang w:val="en-US" w:eastAsia="zh-CN"/>
        </w:rPr>
        <w:t>相关人员</w:t>
      </w:r>
      <w:r>
        <w:rPr>
          <w:rFonts w:hint="eastAsia" w:ascii="仿宋_GB2312" w:hAnsi="仿宋_GB2312" w:eastAsia="仿宋_GB2312" w:cs="仿宋_GB2312"/>
          <w:color w:val="000000"/>
          <w:kern w:val="0"/>
          <w:sz w:val="32"/>
          <w:szCs w:val="32"/>
        </w:rPr>
        <w:t>，并提供GB/T 19025-2023培训管理体系认证证书的。（提供证明材料扫描件，签订合同前审查原件）。</w:t>
      </w:r>
    </w:p>
    <w:p>
      <w:pPr>
        <w:spacing w:line="440" w:lineRule="exact"/>
        <w:rPr>
          <w:rFonts w:hint="eastAsia" w:ascii="仿宋_GB2312" w:hAnsi="仿宋_GB2312" w:eastAsia="仿宋_GB2312" w:cs="仿宋_GB2312"/>
          <w:color w:val="000000"/>
          <w:kern w:val="0"/>
          <w:sz w:val="32"/>
          <w:szCs w:val="32"/>
        </w:rPr>
      </w:pPr>
      <w:bookmarkStart w:id="2" w:name="_GoBack"/>
      <w:bookmarkEnd w:id="2"/>
      <w:r>
        <w:rPr>
          <w:rFonts w:hint="eastAsia" w:ascii="仿宋_GB2312" w:hAnsi="仿宋_GB2312" w:eastAsia="仿宋_GB2312" w:cs="仿宋_GB2312"/>
          <w:color w:val="000000"/>
          <w:kern w:val="0"/>
          <w:sz w:val="32"/>
          <w:szCs w:val="32"/>
          <w:lang w:val="en-US" w:eastAsia="zh-CN"/>
        </w:rPr>
        <w:t>未提供不得分。</w:t>
      </w:r>
    </w:p>
    <w:p>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（三）应急响应与服务保障方案（</w:t>
      </w: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分）</w:t>
      </w:r>
    </w:p>
    <w:p>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对突发虫害应急、重大活动保障及日常服务流程进行评审：</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分）：有简单的应急响应承诺，但无具体流程和时限保障。</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二档（4分）：承诺24小时内应急响应，有基本的应急处理流程，但缺乏具体的服务保障方案。</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分）：承诺白天2小时内、夜间4小时内到达现场应急响应，有分类处置流程和专项保障预案。</w:t>
      </w:r>
    </w:p>
    <w:p>
      <w:pPr>
        <w:spacing w:line="44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分）：承诺提供7×24小时应急服务，核心城区内1小时内到达现场，应急预案与服务保障方案详实，</w:t>
      </w:r>
      <w:r>
        <w:rPr>
          <w:rFonts w:hint="eastAsia" w:ascii="仿宋_GB2312" w:hAnsi="仿宋_GB2312" w:eastAsia="仿宋_GB2312" w:cs="仿宋_GB2312"/>
          <w:color w:val="000000"/>
          <w:kern w:val="0"/>
          <w:sz w:val="32"/>
          <w:szCs w:val="32"/>
          <w:lang w:val="en-US" w:eastAsia="zh-CN"/>
        </w:rPr>
        <w:t>应急预案内容科学合理、全面完善，针对项目可能发生的事故作出综合全面、充分具体的考虑，投标人能在投标文件中提供重大活动保障服务案例。</w:t>
      </w:r>
    </w:p>
    <w:p>
      <w:pPr>
        <w:spacing w:line="44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未提供不得分。</w:t>
      </w:r>
    </w:p>
    <w:p>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（四）项目管理与制度方案分（</w:t>
      </w: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分）</w:t>
      </w:r>
    </w:p>
    <w:p>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管理规章制度包括但不限于内部管理制度、内部考核制度、奖惩制度、财务管理制度、档案的建立与管理制度等；</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管理规章制度基本缺失不完整；</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二档（4分）：管理规章制度简单，制度内容基本可行，针对性和适用性一般，对项目实施的指导作用有限；</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分）：管理规章制度较为详细，制度内容可行，具有一定的针对性，能够较好地指导项目实施。</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分）：管理规章制度详细完善，制度内容针对性强，能够适应项目实施的需求，促进项目顺利进行，投标人获得GB/T15496-2017标准化等级认证证书（提供证明材料扫描件，签订合同前审查原件）。</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未提供不得分。</w:t>
      </w:r>
    </w:p>
    <w:p>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（五）项目安全生产和劳动保障措施（满分</w:t>
      </w: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分）</w:t>
      </w:r>
    </w:p>
    <w:p>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项目安全生产和劳动保障措施包括但不限于：项目安全生产方案、劳动保障措施、项目重点难点分析及解决方案、合理化建议等。</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分）：项目安全生产和劳动保障措施基本缺失或不完整，措施内容模糊，缺乏可操作性；</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二档（4分）：安全保障措施和劳动保障体系简单，措施内容不够详细，缺乏具体的管理办法和操作流程；</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分）：安全保障措施、劳动保障体系较详细合理，具有相应措施管理办法，措施基本可行；</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分）：安全保障措施、保障体系合理、完善，对安全检查、安全事故处理、劳资纠纷事件等有相应的措施或管理办法，并制定出合理的规划安排，有利于提升本项目服务质量，服务人员充足，措施完全可行。</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未提供不得分。</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三、商务部分（20分）</w:t>
      </w:r>
    </w:p>
    <w:p>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（一）企业资质与认证（</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分）</w:t>
      </w:r>
    </w:p>
    <w:p>
      <w:pPr>
        <w:spacing w:line="440" w:lineRule="exact"/>
        <w:rPr>
          <w:rFonts w:hint="eastAsia" w:ascii="仿宋_GB2312" w:hAnsi="仿宋_GB2312" w:eastAsia="仿宋_GB2312" w:cs="仿宋_GB2312"/>
          <w:color w:val="000000"/>
          <w:kern w:val="0"/>
          <w:sz w:val="32"/>
          <w:szCs w:val="32"/>
        </w:rPr>
      </w:pPr>
      <w:bookmarkStart w:id="0" w:name="OLE_LINK16"/>
      <w:bookmarkStart w:id="1" w:name="OLE_LINK17"/>
      <w:r>
        <w:rPr>
          <w:rFonts w:hint="eastAsia" w:ascii="仿宋_GB2312" w:hAnsi="仿宋_GB2312" w:eastAsia="仿宋_GB2312" w:cs="仿宋_GB2312"/>
          <w:color w:val="000000"/>
          <w:kern w:val="0"/>
          <w:sz w:val="32"/>
          <w:szCs w:val="32"/>
        </w:rPr>
        <w:t>1.投标人获得</w:t>
      </w:r>
      <w:bookmarkEnd w:id="0"/>
      <w:bookmarkEnd w:id="1"/>
      <w:r>
        <w:rPr>
          <w:rFonts w:hint="eastAsia" w:ascii="仿宋_GB2312" w:hAnsi="仿宋_GB2312" w:eastAsia="仿宋_GB2312" w:cs="仿宋_GB2312"/>
          <w:color w:val="000000"/>
          <w:kern w:val="0"/>
          <w:sz w:val="32"/>
          <w:szCs w:val="32"/>
        </w:rPr>
        <w:t>国家一级</w:t>
      </w:r>
      <w:r>
        <w:rPr>
          <w:rFonts w:hint="eastAsia" w:ascii="仿宋_GB2312" w:hAnsi="仿宋_GB2312" w:eastAsia="仿宋_GB2312" w:cs="仿宋_GB2312"/>
          <w:color w:val="000000"/>
          <w:kern w:val="0"/>
          <w:sz w:val="32"/>
          <w:szCs w:val="32"/>
          <w:lang w:eastAsia="zh-CN"/>
        </w:rPr>
        <w:t>（A 级/甲级）</w:t>
      </w:r>
      <w:r>
        <w:rPr>
          <w:rFonts w:hint="eastAsia" w:ascii="仿宋_GB2312" w:hAnsi="仿宋_GB2312" w:eastAsia="仿宋_GB2312" w:cs="仿宋_GB2312"/>
          <w:color w:val="000000"/>
          <w:kern w:val="0"/>
          <w:sz w:val="32"/>
          <w:szCs w:val="32"/>
        </w:rPr>
        <w:t>四害消杀服务企业资质证书的得5分，满分5分。</w:t>
      </w:r>
    </w:p>
    <w:p>
      <w:pPr>
        <w:spacing w:line="440" w:lineRule="exac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2.投标人通过GB/T 19001-2016（ISO9001：2015）质量管理体系认证、GB/T24001-2016（ISO14001：2015）环境管理体系认证、GB/T45001-2020(ISO 45001:2018)职业健康安全管理体系认证，GB/T 39604-2020社会责任管理体系认证、GB/T 33718-2017企业履约能力评价认证的，每通过1项得</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分。满分为</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分（提供证明材料扫描件，签订合同前审查原件）</w:t>
      </w:r>
      <w:r>
        <w:rPr>
          <w:rFonts w:hint="eastAsia" w:ascii="仿宋_GB2312" w:hAnsi="仿宋_GB2312" w:eastAsia="仿宋_GB2312" w:cs="仿宋_GB2312"/>
          <w:color w:val="000000"/>
          <w:kern w:val="0"/>
          <w:sz w:val="32"/>
          <w:szCs w:val="32"/>
          <w:lang w:eastAsia="zh-CN"/>
        </w:rPr>
        <w:t>。</w:t>
      </w:r>
    </w:p>
    <w:p>
      <w:pPr>
        <w:spacing w:line="440" w:lineRule="exac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）业绩分（满分</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lang w:eastAsia="zh-CN"/>
        </w:rPr>
        <w:t>分）</w:t>
      </w:r>
    </w:p>
    <w:p>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自202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年1月1日以来承接过或正在履行的</w:t>
      </w:r>
      <w:r>
        <w:rPr>
          <w:rFonts w:hint="eastAsia" w:ascii="仿宋_GB2312" w:hAnsi="仿宋_GB2312" w:eastAsia="仿宋_GB2312" w:cs="仿宋_GB2312"/>
          <w:color w:val="000000"/>
          <w:kern w:val="0"/>
          <w:sz w:val="32"/>
          <w:szCs w:val="32"/>
          <w:lang w:val="en-US" w:eastAsia="zh-CN"/>
        </w:rPr>
        <w:t>四害消杀服务</w:t>
      </w:r>
      <w:r>
        <w:rPr>
          <w:rFonts w:hint="eastAsia" w:ascii="仿宋_GB2312" w:hAnsi="仿宋_GB2312" w:eastAsia="仿宋_GB2312" w:cs="仿宋_GB2312"/>
          <w:color w:val="000000"/>
          <w:kern w:val="0"/>
          <w:sz w:val="32"/>
          <w:szCs w:val="32"/>
        </w:rPr>
        <w:t>，每个项目业绩得2分，满分10分。注：须提供合同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或合同中有明确描述四害消杀内容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或中标/成交通知书复印件并加盖</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公章，否则不予计分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同一编号的项目有两个或两个以上的分标中标的只算一次</w:t>
      </w:r>
      <w:r>
        <w:rPr>
          <w:rFonts w:hint="eastAsia" w:ascii="仿宋_GB2312" w:hAnsi="仿宋_GB2312" w:eastAsia="仿宋_GB2312" w:cs="仿宋_GB2312"/>
          <w:color w:val="000000"/>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A3D7A"/>
    <w:rsid w:val="10F050CB"/>
    <w:rsid w:val="135E2714"/>
    <w:rsid w:val="139A7276"/>
    <w:rsid w:val="1515627A"/>
    <w:rsid w:val="2FDE5325"/>
    <w:rsid w:val="45BA35BE"/>
    <w:rsid w:val="45E32336"/>
    <w:rsid w:val="4AB053F6"/>
    <w:rsid w:val="55AA6B17"/>
    <w:rsid w:val="5ADC3C17"/>
    <w:rsid w:val="66263F98"/>
    <w:rsid w:val="7B64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1815</Words>
  <Characters>1994</Characters>
  <Lines>0</Lines>
  <Paragraphs>0</Paragraphs>
  <TotalTime>0</TotalTime>
  <ScaleCrop>false</ScaleCrop>
  <LinksUpToDate>false</LinksUpToDate>
  <CharactersWithSpaces>2008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2025-12-29T07:52:00Z</dcterms:created>
  <dc:creator>abc</dc:creator>
  <cp:lastModifiedBy>zbb</cp:lastModifiedBy>
  <dcterms:modified xsi:type="dcterms:W3CDTF">2026-01-04T03:41:48Z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eyJoZGlkIjoiN2FjMmUxOWI2NjViMzIxYjQ4OTQwODkyYzk0Mjg0YWIiLCJ1c2VySWQiOiI0NDk3OTkxMDMifQ==</vt:lpwstr>
  </property>
  <property fmtid="{D5CDD505-2E9C-101B-9397-08002B2CF9AE}" pid="4" name="ICV">
    <vt:lpwstr>59C8C5AF81CE48129EDFD9114835D85A_12</vt:lpwstr>
  </property>
</Properties>
</file>