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C3B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7"/>
          <w:rFonts w:hint="eastAsia" w:ascii="方正公文小标宋" w:hAnsi="方正公文小标宋" w:eastAsia="方正公文小标宋" w:cs="方正公文小标宋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2026年春节</w:t>
      </w:r>
      <w:r>
        <w:rPr>
          <w:rStyle w:val="7"/>
          <w:rFonts w:hint="eastAsia" w:ascii="方正公文小标宋" w:hAnsi="方正公文小标宋" w:eastAsia="方正公文小标宋" w:cs="方正公文小标宋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值班</w:t>
      </w:r>
      <w:r>
        <w:rPr>
          <w:rStyle w:val="7"/>
          <w:rFonts w:hint="eastAsia" w:ascii="方正公文小标宋" w:hAnsi="方正公文小标宋" w:eastAsia="方正公文小标宋" w:cs="方正公文小标宋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慰问品采购评分表</w:t>
      </w:r>
    </w:p>
    <w:tbl>
      <w:tblPr>
        <w:tblStyle w:val="5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08"/>
        <w:gridCol w:w="7355"/>
      </w:tblGrid>
      <w:tr w14:paraId="285D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2873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评分项目</w:t>
            </w:r>
          </w:p>
        </w:tc>
        <w:tc>
          <w:tcPr>
            <w:tcW w:w="708" w:type="dxa"/>
            <w:vAlign w:val="center"/>
          </w:tcPr>
          <w:p w14:paraId="22B2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7355" w:type="dxa"/>
            <w:vAlign w:val="center"/>
          </w:tcPr>
          <w:p w14:paraId="0160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评分标准说明</w:t>
            </w:r>
          </w:p>
        </w:tc>
      </w:tr>
      <w:tr w14:paraId="1C38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72EC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一、</w:t>
            </w:r>
          </w:p>
          <w:p w14:paraId="097B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项目实施</w:t>
            </w:r>
          </w:p>
          <w:p w14:paraId="1DB3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方案</w:t>
            </w:r>
          </w:p>
        </w:tc>
        <w:tc>
          <w:tcPr>
            <w:tcW w:w="708" w:type="dxa"/>
            <w:vAlign w:val="center"/>
          </w:tcPr>
          <w:p w14:paraId="7E2D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698E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</w:t>
            </w: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项目实施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方案</w:t>
            </w: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、供货计划及配送方案、产品质量验收程序、验收大纲等内容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的完整性、针对性及可行性。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：方案框架基本完整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，阐述基本清晰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，有2项具体措施。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：方案较完整、详细，有3项可行措施。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：方案全面、规范、优质，措施具体且可行性强。</w:t>
            </w:r>
          </w:p>
          <w:p w14:paraId="798D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注：未提供项目实施方案分得 0 分。</w:t>
            </w:r>
          </w:p>
        </w:tc>
      </w:tr>
      <w:tr w14:paraId="0B16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7FC6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二、</w:t>
            </w:r>
          </w:p>
          <w:p w14:paraId="4D7C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配送服务方案</w:t>
            </w:r>
          </w:p>
        </w:tc>
        <w:tc>
          <w:tcPr>
            <w:tcW w:w="708" w:type="dxa"/>
            <w:vAlign w:val="center"/>
          </w:tcPr>
          <w:p w14:paraId="2D04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  <w:tc>
          <w:tcPr>
            <w:tcW w:w="7355" w:type="dxa"/>
          </w:tcPr>
          <w:p w14:paraId="2421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主要考察：响应速度、方案细节及配送灵活性。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：48小时内送货，基本满足要求、描述简单。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：36小时内送货，供货时间安排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合理，能保证配送服务。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：24小时内送货，供货时间安排合理，拥有专业的配送队伍。</w:t>
            </w:r>
          </w:p>
          <w:p w14:paraId="3CCA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四档 (20分)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：12小时内送货，供货时间安排合理，方案可行性强，充分优于本项目需求。拥有专业的配送队伍。</w:t>
            </w:r>
            <w:bookmarkStart w:id="0" w:name="_GoBack"/>
            <w:bookmarkEnd w:id="0"/>
          </w:p>
          <w:p w14:paraId="2F83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注：未提供方案或未达到一档要求的不得分。</w:t>
            </w:r>
          </w:p>
        </w:tc>
      </w:tr>
      <w:tr w14:paraId="1B85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0224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三、</w:t>
            </w:r>
          </w:p>
          <w:p w14:paraId="3CCE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应急方案</w:t>
            </w:r>
          </w:p>
        </w:tc>
        <w:tc>
          <w:tcPr>
            <w:tcW w:w="708" w:type="dxa"/>
            <w:vAlign w:val="center"/>
          </w:tcPr>
          <w:p w14:paraId="7A7C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7194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主要考察：对质量等紧急事件的响应速度与处理能力。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预案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简单、基本可行。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预案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较具体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出现质量问题承诺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u w:val="singl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小时内到达现场处理，且服务承诺、措施满足项目需求，有一定能力保障食材质量。</w:t>
            </w:r>
          </w:p>
          <w:p w14:paraId="2849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预案详细，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针对性、可行性强。出现质量问题承诺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u w:val="singl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小时内到达现场处理，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固定售后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人及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联系方式，且能保证采购食材卫生安全。</w:t>
            </w:r>
          </w:p>
          <w:p w14:paraId="1B1E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未提供方案或未达到一档要求的不得分。</w:t>
            </w:r>
          </w:p>
        </w:tc>
      </w:tr>
      <w:tr w14:paraId="7AF3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33DF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四、</w:t>
            </w:r>
          </w:p>
          <w:p w14:paraId="0CDD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售后服务</w:t>
            </w:r>
          </w:p>
          <w:p w14:paraId="5020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方案</w:t>
            </w:r>
          </w:p>
        </w:tc>
        <w:tc>
          <w:tcPr>
            <w:tcW w:w="708" w:type="dxa"/>
            <w:vAlign w:val="center"/>
          </w:tcPr>
          <w:p w14:paraId="5DE0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23EC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主要考察：质量问题的响应时效与服务保障。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：6小时内到场处理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，服务流程基本合理。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：4小时内到场处理，服务承诺满足需求。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：2小时内到场处理，服务方式多样，流程详细严谨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 w14:paraId="4D3C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未提供方案或未达到一档要求的不得分。</w:t>
            </w:r>
          </w:p>
        </w:tc>
      </w:tr>
      <w:tr w14:paraId="3C65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4F36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五、</w:t>
            </w:r>
          </w:p>
          <w:p w14:paraId="5F95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样品品质与展示效果</w:t>
            </w:r>
          </w:p>
        </w:tc>
        <w:tc>
          <w:tcPr>
            <w:tcW w:w="708" w:type="dxa"/>
            <w:vAlign w:val="center"/>
          </w:tcPr>
          <w:p w14:paraId="1F98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  <w:tc>
          <w:tcPr>
            <w:tcW w:w="7355" w:type="dxa"/>
          </w:tcPr>
          <w:p w14:paraId="22B7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主要考察：实物样品的品质与直观感受。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(3分)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：品质一般，有轻微瑕疵，展示效果普通。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(6分)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：品质较好，外观基本整洁，无明显功能性瑕疵，展示效果良好。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：品质优良，外观整洁、无任何瑕疵，符合要求，展示效果突出。</w:t>
            </w:r>
          </w:p>
        </w:tc>
      </w:tr>
      <w:tr w14:paraId="08E6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6F49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六、</w:t>
            </w:r>
          </w:p>
          <w:p w14:paraId="2333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组合方案合理性与适配性</w:t>
            </w:r>
          </w:p>
        </w:tc>
        <w:tc>
          <w:tcPr>
            <w:tcW w:w="708" w:type="dxa"/>
            <w:vAlign w:val="center"/>
          </w:tcPr>
          <w:p w14:paraId="3B2C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1A68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主要考察：慰问品搭配是否科学、契合节日需求。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：品类单一或搭配一般，仅满足基础需求。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：搭配基本合理，适配节日场景。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品类多样，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搭配科学均衡，性价比高，节日适配性强。</w:t>
            </w:r>
          </w:p>
        </w:tc>
      </w:tr>
      <w:tr w14:paraId="291B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5936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七、</w:t>
            </w:r>
          </w:p>
          <w:p w14:paraId="3686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同类项目</w:t>
            </w:r>
          </w:p>
          <w:p w14:paraId="36CB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业绩</w:t>
            </w:r>
          </w:p>
        </w:tc>
        <w:tc>
          <w:tcPr>
            <w:tcW w:w="708" w:type="dxa"/>
            <w:vAlign w:val="center"/>
          </w:tcPr>
          <w:p w14:paraId="5830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  <w:tc>
          <w:tcPr>
            <w:tcW w:w="7355" w:type="dxa"/>
          </w:tcPr>
          <w:p w14:paraId="129D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主要考察：供应商同类项目的实施经验。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2022年1月1日起，每提供1份有效慰问品采购业绩证明得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（需含合同首页、核心标的页、金额页、签字盖章页复印件，同时提供对应的验收报告或付款凭证复印件佐证），本项满分10分。</w:t>
            </w:r>
          </w:p>
        </w:tc>
      </w:tr>
    </w:tbl>
    <w:p w14:paraId="67C9443D"/>
    <w:sectPr>
      <w:pgSz w:w="11906" w:h="16838"/>
      <w:pgMar w:top="1304" w:right="130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D3CFE8-A699-4235-90C0-54C4C00E21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65CFEC6-431A-4AF7-8402-11FA7393AC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7FA118-879F-4CA7-A5C3-B206C7F3BF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3555E"/>
    <w:rsid w:val="00093527"/>
    <w:rsid w:val="02B7624C"/>
    <w:rsid w:val="0E732691"/>
    <w:rsid w:val="1A310B82"/>
    <w:rsid w:val="350E5A19"/>
    <w:rsid w:val="35FF127B"/>
    <w:rsid w:val="496062D9"/>
    <w:rsid w:val="599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1144</Characters>
  <Lines>0</Lines>
  <Paragraphs>0</Paragraphs>
  <TotalTime>2</TotalTime>
  <ScaleCrop>false</ScaleCrop>
  <LinksUpToDate>false</LinksUpToDate>
  <CharactersWithSpaces>1166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2026-01-08T03:20:00Z</dcterms:created>
  <dc:creator>abc</dc:creator>
  <cp:lastModifiedBy>abc</cp:lastModifiedBy>
  <dcterms:modified xsi:type="dcterms:W3CDTF">2026-01-08T09:06:11Z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3E4FDE97AC3044C48C73C035C94EBCED_11</vt:lpwstr>
  </property>
  <property fmtid="{D5CDD505-2E9C-101B-9397-08002B2CF9AE}" pid="4" name="KSOTemplateDocerSaveRecord">
    <vt:lpwstr>eyJoZGlkIjoiOTZkZjcwY2NiZWM0ZmQ3NmU1NWZhYjMyZjE1ZDEyMDIiLCJ1c2VySWQiOiI0NTk1MDA0MDQifQ==</vt:lpwstr>
  </property>
</Properties>
</file>